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8AE47">
      <w:pPr>
        <w:jc w:val="center"/>
      </w:pPr>
      <w:r>
        <w:t xml:space="preserve">Администрация сельского поселения Акбулатовский сельсовет муниципального района Татышлинский район </w:t>
      </w:r>
    </w:p>
    <w:p w14:paraId="0552C252">
      <w:pPr>
        <w:jc w:val="center"/>
      </w:pPr>
      <w:r>
        <w:t>Республики Башкортостан</w:t>
      </w:r>
    </w:p>
    <w:p w14:paraId="52F5862D">
      <w:pPr>
        <w:jc w:val="center"/>
      </w:pPr>
    </w:p>
    <w:p w14:paraId="302943A4">
      <w:pPr>
        <w:jc w:val="center"/>
      </w:pPr>
      <w:r>
        <w:t>ПОСТАНОВЛЕНИЕ</w:t>
      </w:r>
    </w:p>
    <w:p w14:paraId="3A14B582">
      <w:pPr>
        <w:jc w:val="center"/>
      </w:pPr>
    </w:p>
    <w:p w14:paraId="47840847">
      <w:r>
        <w:t>«</w:t>
      </w:r>
      <w:r>
        <w:rPr>
          <w:rFonts w:hint="default"/>
          <w:lang w:val="ru-RU"/>
        </w:rPr>
        <w:t>02</w:t>
      </w:r>
      <w:r>
        <w:t>»</w:t>
      </w:r>
      <w:r>
        <w:rPr>
          <w:rFonts w:hint="default"/>
          <w:lang w:val="ru-RU"/>
        </w:rPr>
        <w:t xml:space="preserve"> июня </w:t>
      </w:r>
      <w:r>
        <w:t xml:space="preserve">2026г.                                                                                           </w:t>
      </w:r>
      <w:r>
        <w:rPr>
          <w:rFonts w:hint="default"/>
          <w:lang w:val="ru-RU"/>
        </w:rPr>
        <w:t xml:space="preserve">                      </w:t>
      </w:r>
      <w:r>
        <w:t>№</w:t>
      </w:r>
      <w:r>
        <w:rPr>
          <w:rFonts w:hint="default"/>
          <w:lang w:val="ru-RU"/>
        </w:rPr>
        <w:t>9</w:t>
      </w:r>
    </w:p>
    <w:p w14:paraId="2F3E73A5">
      <w:pPr>
        <w:jc w:val="both"/>
      </w:pPr>
    </w:p>
    <w:p w14:paraId="09E75158">
      <w:pPr>
        <w:ind w:left="4536"/>
        <w:jc w:val="both"/>
      </w:pPr>
      <w:r>
        <w:t xml:space="preserve">Об утверждении </w:t>
      </w:r>
      <w:bookmarkStart w:id="0" w:name="_Hlk189473659"/>
      <w:r>
        <w:t xml:space="preserve">карты коррупционных рисков при осуществлении закупок товаров, работ, услуг для обеспечения муниципальных нужд </w:t>
      </w:r>
      <w:r>
        <w:rPr>
          <w:bCs/>
          <w:color w:val="000000"/>
          <w:spacing w:val="6"/>
        </w:rPr>
        <w:t>и плана (реестра) мер, направленных на минимизацию коррупционных рисков, возникающих при осуществлении закупок товаров, работ, услуг для муниципальных нужд</w:t>
      </w:r>
      <w:r>
        <w:t xml:space="preserve"> администрации сельского поселения Акбулатовский сельсовет муниципального района Татышлинский район Республики Башкортостан</w:t>
      </w:r>
      <w:bookmarkEnd w:id="0"/>
    </w:p>
    <w:p w14:paraId="0A284CA0">
      <w:pPr>
        <w:jc w:val="both"/>
      </w:pPr>
    </w:p>
    <w:p w14:paraId="47105DAE">
      <w:pPr>
        <w:ind w:firstLine="708"/>
        <w:jc w:val="both"/>
        <w:rPr>
          <w:lang w:bidi="ru-RU"/>
        </w:rPr>
      </w:pPr>
      <w:bookmarkStart w:id="1" w:name="_Hlk180752370"/>
      <w:r>
        <w:rPr>
          <w:lang w:bidi="ru-RU"/>
        </w:rPr>
        <w:t>В соответствии с Федеральным законом от 25.12.2008 № 273‑ФЗ «О противодействии коррупции»,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bookmarkEnd w:id="1"/>
      <w:r>
        <w:rPr>
          <w:lang w:bidi="ru-RU"/>
        </w:rPr>
        <w:t>, руководствуясь Методическими рекомендациями от 03 октября 2020 г. по выявлению и минимизации коррупционных рисков при осуществлении закупок товаров, работ, услуг для обеспечения государственных и муниципальных нужд, разработанными Министерством труда и социальной защиты Российской Федерации,</w:t>
      </w:r>
    </w:p>
    <w:p w14:paraId="59E6C7F5">
      <w:pPr>
        <w:ind w:firstLine="708"/>
        <w:jc w:val="both"/>
      </w:pPr>
    </w:p>
    <w:p w14:paraId="0591E37D">
      <w:pPr>
        <w:jc w:val="center"/>
      </w:pPr>
      <w:r>
        <w:t>ПОСТАНОВЛЯЮ:</w:t>
      </w:r>
    </w:p>
    <w:p w14:paraId="48D0F1F3">
      <w:pPr>
        <w:jc w:val="center"/>
      </w:pPr>
    </w:p>
    <w:p w14:paraId="12DED251">
      <w:pPr>
        <w:pStyle w:val="11"/>
        <w:numPr>
          <w:ilvl w:val="0"/>
          <w:numId w:val="1"/>
        </w:numPr>
        <w:ind w:left="0" w:firstLine="851"/>
        <w:jc w:val="both"/>
      </w:pPr>
      <w:bookmarkStart w:id="2" w:name="sub_1"/>
      <w:r>
        <w:rPr>
          <w:lang w:bidi="ru-RU"/>
        </w:rPr>
        <w:t>Утвердить карту коррупционных рисков при осуществлении закупок товаров, работ, услуг для обеспечения муниципальных нужд администрации сельского поселения Акбулатовский сельсовет муниципального района Татышлинский район Республики Башкортостан (приложение 1)</w:t>
      </w:r>
      <w:r>
        <w:t>.</w:t>
      </w:r>
    </w:p>
    <w:bookmarkEnd w:id="2"/>
    <w:p w14:paraId="423EE636">
      <w:pPr>
        <w:pStyle w:val="11"/>
        <w:widowControl w:val="0"/>
        <w:numPr>
          <w:ilvl w:val="0"/>
          <w:numId w:val="1"/>
        </w:numPr>
        <w:autoSpaceDE w:val="0"/>
        <w:autoSpaceDN w:val="0"/>
        <w:adjustRightInd w:val="0"/>
        <w:ind w:left="0" w:firstLine="851"/>
        <w:jc w:val="both"/>
      </w:pPr>
      <w:r>
        <w:t>Утвердить план (реестр) мер, направленных на минимизацию коррупционных рисков, возникающих при осуществлении закупок товаров, работ, услуг для муниципальных нужд администрации сельского поселения Акбулатовский сельсовет муниципального района Татышлинский район Республики Башкортостан (приложение 2).</w:t>
      </w:r>
    </w:p>
    <w:p w14:paraId="09373B81">
      <w:pPr>
        <w:pStyle w:val="11"/>
        <w:widowControl w:val="0"/>
        <w:numPr>
          <w:ilvl w:val="0"/>
          <w:numId w:val="1"/>
        </w:numPr>
        <w:autoSpaceDE w:val="0"/>
        <w:autoSpaceDN w:val="0"/>
        <w:adjustRightInd w:val="0"/>
        <w:ind w:left="0" w:firstLine="851"/>
        <w:jc w:val="both"/>
      </w:pPr>
      <w:r>
        <w:t>Опубликовать настоящее постановление на официальном сайте администрации сельского поселения Акбулатовский сельсовет муниципального района Татышлинский район Республики Башкортостан в сети Интернет.</w:t>
      </w:r>
    </w:p>
    <w:p w14:paraId="26F281AE">
      <w:pPr>
        <w:pStyle w:val="11"/>
        <w:widowControl w:val="0"/>
        <w:numPr>
          <w:ilvl w:val="0"/>
          <w:numId w:val="1"/>
        </w:numPr>
        <w:autoSpaceDE w:val="0"/>
        <w:autoSpaceDN w:val="0"/>
        <w:adjustRightInd w:val="0"/>
        <w:ind w:left="0" w:firstLine="851"/>
        <w:jc w:val="both"/>
      </w:pPr>
      <w:r>
        <w:t>Контроль за исполнением настоящего постановления оставляю за собой.</w:t>
      </w:r>
    </w:p>
    <w:p w14:paraId="4065C46E">
      <w:pPr>
        <w:widowControl w:val="0"/>
        <w:autoSpaceDE w:val="0"/>
        <w:autoSpaceDN w:val="0"/>
        <w:adjustRightInd w:val="0"/>
        <w:jc w:val="both"/>
      </w:pPr>
    </w:p>
    <w:p w14:paraId="1B2D9019">
      <w:pPr>
        <w:widowControl w:val="0"/>
        <w:autoSpaceDE w:val="0"/>
        <w:autoSpaceDN w:val="0"/>
        <w:adjustRightInd w:val="0"/>
        <w:jc w:val="both"/>
      </w:pPr>
      <w:r>
        <w:t>Глава сельского поселения                                                                          Ф.Р. Нигаматьянов</w:t>
      </w:r>
    </w:p>
    <w:p w14:paraId="3DFDC448">
      <w:pPr>
        <w:widowControl w:val="0"/>
        <w:autoSpaceDE w:val="0"/>
        <w:autoSpaceDN w:val="0"/>
        <w:adjustRightInd w:val="0"/>
        <w:jc w:val="both"/>
        <w:rPr>
          <w:sz w:val="28"/>
          <w:szCs w:val="28"/>
        </w:rPr>
      </w:pPr>
    </w:p>
    <w:p w14:paraId="7F226104">
      <w:pPr>
        <w:widowControl w:val="0"/>
        <w:autoSpaceDE w:val="0"/>
        <w:autoSpaceDN w:val="0"/>
        <w:adjustRightInd w:val="0"/>
        <w:jc w:val="both"/>
        <w:rPr>
          <w:rFonts w:hint="default"/>
          <w:sz w:val="20"/>
          <w:szCs w:val="20"/>
          <w:lang w:val="ru-RU"/>
        </w:rPr>
      </w:pPr>
      <w:r>
        <w:rPr>
          <w:sz w:val="20"/>
          <w:szCs w:val="20"/>
        </w:rPr>
        <w:t xml:space="preserve">исп. </w:t>
      </w:r>
      <w:r>
        <w:rPr>
          <w:sz w:val="20"/>
          <w:szCs w:val="20"/>
          <w:lang w:val="ru-RU"/>
        </w:rPr>
        <w:t>Гиниятова</w:t>
      </w:r>
      <w:r>
        <w:rPr>
          <w:rFonts w:hint="default"/>
          <w:sz w:val="20"/>
          <w:szCs w:val="20"/>
          <w:lang w:val="ru-RU"/>
        </w:rPr>
        <w:t xml:space="preserve"> Г.А.</w:t>
      </w:r>
    </w:p>
    <w:p w14:paraId="4A0F0BE8">
      <w:pPr>
        <w:rPr>
          <w:sz w:val="28"/>
        </w:rPr>
      </w:pPr>
      <w:r>
        <w:rPr>
          <w:sz w:val="20"/>
          <w:szCs w:val="20"/>
        </w:rPr>
        <w:t>8(34778) 3-38-38</w:t>
      </w:r>
    </w:p>
    <w:p w14:paraId="4F7734DA">
      <w:pPr>
        <w:rPr>
          <w:sz w:val="28"/>
        </w:rPr>
      </w:pPr>
    </w:p>
    <w:p w14:paraId="7DB61063">
      <w:pPr>
        <w:spacing w:after="200" w:line="276" w:lineRule="auto"/>
        <w:jc w:val="center"/>
        <w:rPr>
          <w:sz w:val="28"/>
          <w:szCs w:val="28"/>
        </w:rPr>
        <w:sectPr>
          <w:pgSz w:w="11907" w:h="16840"/>
          <w:pgMar w:top="1134" w:right="1134" w:bottom="851" w:left="1276" w:header="720" w:footer="720" w:gutter="0"/>
          <w:cols w:space="720" w:num="1"/>
        </w:sectPr>
      </w:pPr>
    </w:p>
    <w:p w14:paraId="54BCE22D">
      <w:pPr>
        <w:spacing w:after="200" w:line="276" w:lineRule="auto"/>
        <w:rPr>
          <w:sz w:val="28"/>
          <w:szCs w:val="28"/>
        </w:rPr>
      </w:pPr>
    </w:p>
    <w:p w14:paraId="27794C4B">
      <w:pPr>
        <w:ind w:left="11057"/>
        <w:jc w:val="both"/>
      </w:pPr>
      <w:bookmarkStart w:id="3" w:name="_Hlk230096128"/>
      <w:r>
        <w:t xml:space="preserve">Приложение №1 </w:t>
      </w:r>
    </w:p>
    <w:p w14:paraId="7566D8DA">
      <w:pPr>
        <w:ind w:left="11057"/>
        <w:jc w:val="both"/>
      </w:pPr>
      <w:r>
        <w:t>к постановлению администрации сельского поселения Акбулатовский сельсовет муниципального района Татышлинский район Республики Башкортостан</w:t>
      </w:r>
    </w:p>
    <w:p w14:paraId="059A116B">
      <w:pPr>
        <w:ind w:left="11057"/>
        <w:jc w:val="both"/>
        <w:rPr>
          <w:rFonts w:hint="default"/>
          <w:lang w:val="ru-RU"/>
        </w:rPr>
      </w:pPr>
      <w:r>
        <w:t>от «</w:t>
      </w:r>
      <w:r>
        <w:rPr>
          <w:rFonts w:hint="default"/>
          <w:lang w:val="ru-RU"/>
        </w:rPr>
        <w:t>02</w:t>
      </w:r>
      <w:r>
        <w:t xml:space="preserve">» </w:t>
      </w:r>
      <w:r>
        <w:rPr>
          <w:lang w:val="ru-RU"/>
        </w:rPr>
        <w:t>июня</w:t>
      </w:r>
      <w:r>
        <w:t xml:space="preserve"> 2026г. № </w:t>
      </w:r>
      <w:r>
        <w:rPr>
          <w:rFonts w:hint="default"/>
          <w:lang w:val="ru-RU"/>
        </w:rPr>
        <w:t>9</w:t>
      </w:r>
    </w:p>
    <w:bookmarkEnd w:id="3"/>
    <w:p w14:paraId="029AF0D8">
      <w:pPr>
        <w:ind w:left="11057"/>
        <w:jc w:val="center"/>
        <w:rPr>
          <w:b/>
          <w:sz w:val="28"/>
          <w:szCs w:val="28"/>
        </w:rPr>
      </w:pPr>
    </w:p>
    <w:p w14:paraId="0D164013">
      <w:pPr>
        <w:jc w:val="center"/>
        <w:rPr>
          <w:b/>
          <w:sz w:val="28"/>
          <w:szCs w:val="28"/>
        </w:rPr>
      </w:pPr>
    </w:p>
    <w:p w14:paraId="29A4D5D3">
      <w:pPr>
        <w:autoSpaceDE w:val="0"/>
        <w:autoSpaceDN w:val="0"/>
        <w:adjustRightInd w:val="0"/>
        <w:jc w:val="center"/>
        <w:rPr>
          <w:rFonts w:eastAsiaTheme="minorHAnsi"/>
          <w:sz w:val="28"/>
          <w:szCs w:val="28"/>
          <w:lang w:eastAsia="en-US"/>
        </w:rPr>
      </w:pPr>
      <w:r>
        <w:rPr>
          <w:rFonts w:eastAsiaTheme="minorHAnsi"/>
          <w:sz w:val="28"/>
          <w:szCs w:val="28"/>
          <w:lang w:eastAsia="en-US"/>
        </w:rPr>
        <w:t>Реестр (карта) коррупционных рисков, возникающих</w:t>
      </w:r>
    </w:p>
    <w:p w14:paraId="33ABBD9C">
      <w:pPr>
        <w:autoSpaceDE w:val="0"/>
        <w:autoSpaceDN w:val="0"/>
        <w:adjustRightInd w:val="0"/>
        <w:jc w:val="center"/>
        <w:rPr>
          <w:rFonts w:eastAsiaTheme="minorHAnsi"/>
          <w:sz w:val="28"/>
          <w:szCs w:val="28"/>
          <w:lang w:eastAsia="en-US"/>
        </w:rPr>
      </w:pPr>
      <w:r>
        <w:rPr>
          <w:rFonts w:eastAsiaTheme="minorHAnsi"/>
          <w:sz w:val="28"/>
          <w:szCs w:val="28"/>
          <w:lang w:eastAsia="en-US"/>
        </w:rPr>
        <w:t>при осуществлении закупок товаров, работ, услуг для муниципальных нужд</w:t>
      </w:r>
    </w:p>
    <w:p w14:paraId="5E95DC94">
      <w:pPr>
        <w:autoSpaceDE w:val="0"/>
        <w:autoSpaceDN w:val="0"/>
        <w:adjustRightInd w:val="0"/>
        <w:jc w:val="both"/>
        <w:rPr>
          <w:rFonts w:eastAsiaTheme="minorHAnsi"/>
          <w:sz w:val="28"/>
          <w:szCs w:val="28"/>
          <w:lang w:eastAsia="en-US"/>
        </w:rPr>
      </w:pPr>
    </w:p>
    <w:tbl>
      <w:tblPr>
        <w:tblStyle w:val="4"/>
        <w:tblW w:w="15513" w:type="dxa"/>
        <w:tblInd w:w="0" w:type="dxa"/>
        <w:tblLayout w:type="fixed"/>
        <w:tblCellMar>
          <w:top w:w="102" w:type="dxa"/>
          <w:left w:w="62" w:type="dxa"/>
          <w:bottom w:w="102" w:type="dxa"/>
          <w:right w:w="62" w:type="dxa"/>
        </w:tblCellMar>
      </w:tblPr>
      <w:tblGrid>
        <w:gridCol w:w="624"/>
        <w:gridCol w:w="2132"/>
        <w:gridCol w:w="3260"/>
        <w:gridCol w:w="2835"/>
        <w:gridCol w:w="2977"/>
        <w:gridCol w:w="3685"/>
      </w:tblGrid>
      <w:tr w14:paraId="4C0FE190">
        <w:tblPrEx>
          <w:tblCellMar>
            <w:top w:w="102" w:type="dxa"/>
            <w:left w:w="62" w:type="dxa"/>
            <w:bottom w:w="102" w:type="dxa"/>
            <w:right w:w="62" w:type="dxa"/>
          </w:tblCellMar>
        </w:tblPrEx>
        <w:tc>
          <w:tcPr>
            <w:tcW w:w="624" w:type="dxa"/>
            <w:vMerge w:val="restart"/>
            <w:tcBorders>
              <w:top w:val="single" w:color="auto" w:sz="4" w:space="0"/>
              <w:left w:val="single" w:color="auto" w:sz="4" w:space="0"/>
              <w:bottom w:val="single" w:color="auto" w:sz="4" w:space="0"/>
              <w:right w:val="single" w:color="auto" w:sz="4" w:space="0"/>
            </w:tcBorders>
          </w:tcPr>
          <w:p w14:paraId="363C063A">
            <w:pPr>
              <w:autoSpaceDE w:val="0"/>
              <w:autoSpaceDN w:val="0"/>
              <w:adjustRightInd w:val="0"/>
              <w:jc w:val="center"/>
              <w:rPr>
                <w:rFonts w:eastAsiaTheme="minorHAnsi"/>
                <w:sz w:val="28"/>
                <w:szCs w:val="28"/>
                <w:lang w:eastAsia="en-US"/>
              </w:rPr>
            </w:pPr>
            <w:r>
              <w:rPr>
                <w:rFonts w:eastAsiaTheme="minorHAnsi"/>
                <w:sz w:val="28"/>
                <w:szCs w:val="28"/>
                <w:lang w:eastAsia="en-US"/>
              </w:rPr>
              <w:t>N п/п</w:t>
            </w:r>
          </w:p>
        </w:tc>
        <w:tc>
          <w:tcPr>
            <w:tcW w:w="2132" w:type="dxa"/>
            <w:vMerge w:val="restart"/>
            <w:tcBorders>
              <w:top w:val="single" w:color="auto" w:sz="4" w:space="0"/>
              <w:left w:val="single" w:color="auto" w:sz="4" w:space="0"/>
              <w:bottom w:val="single" w:color="auto" w:sz="4" w:space="0"/>
              <w:right w:val="single" w:color="auto" w:sz="4" w:space="0"/>
            </w:tcBorders>
          </w:tcPr>
          <w:p w14:paraId="37C7A2CE">
            <w:pPr>
              <w:autoSpaceDE w:val="0"/>
              <w:autoSpaceDN w:val="0"/>
              <w:adjustRightInd w:val="0"/>
              <w:jc w:val="center"/>
              <w:rPr>
                <w:rFonts w:eastAsiaTheme="minorHAnsi"/>
                <w:sz w:val="28"/>
                <w:szCs w:val="28"/>
                <w:lang w:eastAsia="en-US"/>
              </w:rPr>
            </w:pPr>
            <w:r>
              <w:rPr>
                <w:rFonts w:eastAsiaTheme="minorHAnsi"/>
                <w:sz w:val="28"/>
                <w:szCs w:val="28"/>
                <w:lang w:eastAsia="en-US"/>
              </w:rPr>
              <w:t>Краткое наименование коррупционного риска</w:t>
            </w:r>
          </w:p>
        </w:tc>
        <w:tc>
          <w:tcPr>
            <w:tcW w:w="3260" w:type="dxa"/>
            <w:vMerge w:val="restart"/>
            <w:tcBorders>
              <w:top w:val="single" w:color="auto" w:sz="4" w:space="0"/>
              <w:left w:val="single" w:color="auto" w:sz="4" w:space="0"/>
              <w:bottom w:val="single" w:color="auto" w:sz="4" w:space="0"/>
              <w:right w:val="single" w:color="auto" w:sz="4" w:space="0"/>
            </w:tcBorders>
          </w:tcPr>
          <w:p w14:paraId="00BD9A79">
            <w:pPr>
              <w:autoSpaceDE w:val="0"/>
              <w:autoSpaceDN w:val="0"/>
              <w:adjustRightInd w:val="0"/>
              <w:jc w:val="center"/>
              <w:rPr>
                <w:rFonts w:eastAsiaTheme="minorHAnsi"/>
                <w:sz w:val="28"/>
                <w:szCs w:val="28"/>
                <w:lang w:eastAsia="en-US"/>
              </w:rPr>
            </w:pPr>
            <w:r>
              <w:rPr>
                <w:rFonts w:eastAsiaTheme="minorHAnsi"/>
                <w:sz w:val="28"/>
                <w:szCs w:val="28"/>
                <w:lang w:eastAsia="en-US"/>
              </w:rPr>
              <w:t>Описание возможной коррупционной схемы</w:t>
            </w:r>
          </w:p>
        </w:tc>
        <w:tc>
          <w:tcPr>
            <w:tcW w:w="2835" w:type="dxa"/>
            <w:vMerge w:val="restart"/>
            <w:tcBorders>
              <w:top w:val="single" w:color="auto" w:sz="4" w:space="0"/>
              <w:left w:val="single" w:color="auto" w:sz="4" w:space="0"/>
              <w:bottom w:val="single" w:color="auto" w:sz="4" w:space="0"/>
              <w:right w:val="single" w:color="auto" w:sz="4" w:space="0"/>
            </w:tcBorders>
          </w:tcPr>
          <w:p w14:paraId="04DBBB13">
            <w:pPr>
              <w:autoSpaceDE w:val="0"/>
              <w:autoSpaceDN w:val="0"/>
              <w:adjustRightInd w:val="0"/>
              <w:jc w:val="center"/>
              <w:rPr>
                <w:rFonts w:eastAsiaTheme="minorHAnsi"/>
                <w:sz w:val="28"/>
                <w:szCs w:val="28"/>
                <w:lang w:eastAsia="en-US"/>
              </w:rPr>
            </w:pPr>
            <w:r>
              <w:rPr>
                <w:rFonts w:eastAsiaTheme="minorHAnsi"/>
                <w:sz w:val="28"/>
                <w:szCs w:val="28"/>
                <w:lang w:eastAsia="en-US"/>
              </w:rPr>
              <w:t>Наименование должностей служащих (работников), которые могут участвовать в реализации коррупционной схемы</w:t>
            </w:r>
          </w:p>
        </w:tc>
        <w:tc>
          <w:tcPr>
            <w:tcW w:w="6662" w:type="dxa"/>
            <w:gridSpan w:val="2"/>
            <w:tcBorders>
              <w:top w:val="single" w:color="auto" w:sz="4" w:space="0"/>
              <w:left w:val="single" w:color="auto" w:sz="4" w:space="0"/>
              <w:bottom w:val="single" w:color="auto" w:sz="4" w:space="0"/>
              <w:right w:val="single" w:color="auto" w:sz="4" w:space="0"/>
            </w:tcBorders>
          </w:tcPr>
          <w:p w14:paraId="7CA47455">
            <w:pPr>
              <w:autoSpaceDE w:val="0"/>
              <w:autoSpaceDN w:val="0"/>
              <w:adjustRightInd w:val="0"/>
              <w:jc w:val="center"/>
              <w:rPr>
                <w:rFonts w:eastAsiaTheme="minorHAnsi"/>
                <w:sz w:val="28"/>
                <w:szCs w:val="28"/>
                <w:lang w:eastAsia="en-US"/>
              </w:rPr>
            </w:pPr>
            <w:r>
              <w:rPr>
                <w:rFonts w:eastAsiaTheme="minorHAnsi"/>
                <w:sz w:val="28"/>
                <w:szCs w:val="28"/>
                <w:lang w:eastAsia="en-US"/>
              </w:rPr>
              <w:t>Меры по минимизации коррупционных рисков</w:t>
            </w:r>
          </w:p>
        </w:tc>
      </w:tr>
      <w:tr w14:paraId="16DE845F">
        <w:tblPrEx>
          <w:tblCellMar>
            <w:top w:w="102" w:type="dxa"/>
            <w:left w:w="62" w:type="dxa"/>
            <w:bottom w:w="102" w:type="dxa"/>
            <w:right w:w="62" w:type="dxa"/>
          </w:tblCellMar>
        </w:tblPrEx>
        <w:tc>
          <w:tcPr>
            <w:tcW w:w="624" w:type="dxa"/>
            <w:vMerge w:val="continue"/>
            <w:tcBorders>
              <w:top w:val="single" w:color="auto" w:sz="4" w:space="0"/>
              <w:left w:val="single" w:color="auto" w:sz="4" w:space="0"/>
              <w:bottom w:val="single" w:color="auto" w:sz="4" w:space="0"/>
              <w:right w:val="single" w:color="auto" w:sz="4" w:space="0"/>
            </w:tcBorders>
          </w:tcPr>
          <w:p w14:paraId="184D357F">
            <w:pPr>
              <w:autoSpaceDE w:val="0"/>
              <w:autoSpaceDN w:val="0"/>
              <w:adjustRightInd w:val="0"/>
              <w:jc w:val="center"/>
              <w:rPr>
                <w:rFonts w:eastAsiaTheme="minorHAnsi"/>
                <w:sz w:val="28"/>
                <w:szCs w:val="28"/>
                <w:lang w:eastAsia="en-US"/>
              </w:rPr>
            </w:pPr>
          </w:p>
        </w:tc>
        <w:tc>
          <w:tcPr>
            <w:tcW w:w="2132" w:type="dxa"/>
            <w:vMerge w:val="continue"/>
            <w:tcBorders>
              <w:top w:val="single" w:color="auto" w:sz="4" w:space="0"/>
              <w:left w:val="single" w:color="auto" w:sz="4" w:space="0"/>
              <w:bottom w:val="single" w:color="auto" w:sz="4" w:space="0"/>
              <w:right w:val="single" w:color="auto" w:sz="4" w:space="0"/>
            </w:tcBorders>
          </w:tcPr>
          <w:p w14:paraId="6509F6FE">
            <w:pPr>
              <w:autoSpaceDE w:val="0"/>
              <w:autoSpaceDN w:val="0"/>
              <w:adjustRightInd w:val="0"/>
              <w:jc w:val="center"/>
              <w:rPr>
                <w:rFonts w:eastAsiaTheme="minorHAnsi"/>
                <w:sz w:val="28"/>
                <w:szCs w:val="28"/>
                <w:lang w:eastAsia="en-US"/>
              </w:rPr>
            </w:pPr>
          </w:p>
        </w:tc>
        <w:tc>
          <w:tcPr>
            <w:tcW w:w="3260" w:type="dxa"/>
            <w:vMerge w:val="continue"/>
            <w:tcBorders>
              <w:top w:val="single" w:color="auto" w:sz="4" w:space="0"/>
              <w:left w:val="single" w:color="auto" w:sz="4" w:space="0"/>
              <w:bottom w:val="single" w:color="auto" w:sz="4" w:space="0"/>
              <w:right w:val="single" w:color="auto" w:sz="4" w:space="0"/>
            </w:tcBorders>
          </w:tcPr>
          <w:p w14:paraId="4A554E68">
            <w:pPr>
              <w:autoSpaceDE w:val="0"/>
              <w:autoSpaceDN w:val="0"/>
              <w:adjustRightInd w:val="0"/>
              <w:jc w:val="center"/>
              <w:rPr>
                <w:rFonts w:eastAsiaTheme="minorHAnsi"/>
                <w:sz w:val="28"/>
                <w:szCs w:val="28"/>
                <w:lang w:eastAsia="en-US"/>
              </w:rPr>
            </w:pPr>
          </w:p>
        </w:tc>
        <w:tc>
          <w:tcPr>
            <w:tcW w:w="2835" w:type="dxa"/>
            <w:vMerge w:val="continue"/>
            <w:tcBorders>
              <w:top w:val="single" w:color="auto" w:sz="4" w:space="0"/>
              <w:left w:val="single" w:color="auto" w:sz="4" w:space="0"/>
              <w:bottom w:val="single" w:color="auto" w:sz="4" w:space="0"/>
              <w:right w:val="single" w:color="auto" w:sz="4" w:space="0"/>
            </w:tcBorders>
          </w:tcPr>
          <w:p w14:paraId="45ADC758">
            <w:pPr>
              <w:autoSpaceDE w:val="0"/>
              <w:autoSpaceDN w:val="0"/>
              <w:adjustRightInd w:val="0"/>
              <w:jc w:val="center"/>
              <w:rPr>
                <w:rFonts w:eastAsiaTheme="minorHAnsi"/>
                <w:sz w:val="28"/>
                <w:szCs w:val="28"/>
                <w:lang w:eastAsia="en-US"/>
              </w:rPr>
            </w:pPr>
          </w:p>
        </w:tc>
        <w:tc>
          <w:tcPr>
            <w:tcW w:w="2977" w:type="dxa"/>
            <w:tcBorders>
              <w:top w:val="single" w:color="auto" w:sz="4" w:space="0"/>
              <w:left w:val="single" w:color="auto" w:sz="4" w:space="0"/>
              <w:bottom w:val="single" w:color="auto" w:sz="4" w:space="0"/>
              <w:right w:val="single" w:color="auto" w:sz="4" w:space="0"/>
            </w:tcBorders>
          </w:tcPr>
          <w:p w14:paraId="36C55376">
            <w:pPr>
              <w:autoSpaceDE w:val="0"/>
              <w:autoSpaceDN w:val="0"/>
              <w:adjustRightInd w:val="0"/>
              <w:jc w:val="center"/>
              <w:rPr>
                <w:rFonts w:eastAsiaTheme="minorHAnsi"/>
                <w:sz w:val="28"/>
                <w:szCs w:val="28"/>
                <w:lang w:eastAsia="en-US"/>
              </w:rPr>
            </w:pPr>
            <w:r>
              <w:rPr>
                <w:rFonts w:eastAsiaTheme="minorHAnsi"/>
                <w:sz w:val="28"/>
                <w:szCs w:val="28"/>
                <w:lang w:eastAsia="en-US"/>
              </w:rPr>
              <w:t>Реализуемые</w:t>
            </w:r>
          </w:p>
        </w:tc>
        <w:tc>
          <w:tcPr>
            <w:tcW w:w="3685" w:type="dxa"/>
            <w:tcBorders>
              <w:top w:val="single" w:color="auto" w:sz="4" w:space="0"/>
              <w:left w:val="single" w:color="auto" w:sz="4" w:space="0"/>
              <w:bottom w:val="single" w:color="auto" w:sz="4" w:space="0"/>
              <w:right w:val="single" w:color="auto" w:sz="4" w:space="0"/>
            </w:tcBorders>
          </w:tcPr>
          <w:p w14:paraId="4B1F9D33">
            <w:pPr>
              <w:autoSpaceDE w:val="0"/>
              <w:autoSpaceDN w:val="0"/>
              <w:adjustRightInd w:val="0"/>
              <w:jc w:val="center"/>
              <w:rPr>
                <w:rFonts w:eastAsiaTheme="minorHAnsi"/>
                <w:sz w:val="28"/>
                <w:szCs w:val="28"/>
                <w:lang w:eastAsia="en-US"/>
              </w:rPr>
            </w:pPr>
            <w:r>
              <w:rPr>
                <w:rFonts w:eastAsiaTheme="minorHAnsi"/>
                <w:sz w:val="28"/>
                <w:szCs w:val="28"/>
                <w:lang w:eastAsia="en-US"/>
              </w:rPr>
              <w:t>Предлагаемые</w:t>
            </w:r>
          </w:p>
        </w:tc>
      </w:tr>
      <w:tr w14:paraId="7DCB5146">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tcPr>
          <w:p w14:paraId="7188F7FE">
            <w:pPr>
              <w:autoSpaceDE w:val="0"/>
              <w:autoSpaceDN w:val="0"/>
              <w:adjustRightInd w:val="0"/>
              <w:rPr>
                <w:rFonts w:eastAsiaTheme="minorHAnsi"/>
                <w:sz w:val="28"/>
                <w:szCs w:val="28"/>
                <w:lang w:eastAsia="en-US"/>
              </w:rPr>
            </w:pPr>
            <w:r>
              <w:rPr>
                <w:rFonts w:eastAsiaTheme="minorHAnsi"/>
                <w:sz w:val="28"/>
                <w:szCs w:val="28"/>
                <w:lang w:eastAsia="en-US"/>
              </w:rPr>
              <w:t>1.</w:t>
            </w:r>
          </w:p>
        </w:tc>
        <w:tc>
          <w:tcPr>
            <w:tcW w:w="2132" w:type="dxa"/>
            <w:tcBorders>
              <w:top w:val="single" w:color="auto" w:sz="4" w:space="0"/>
              <w:left w:val="single" w:color="auto" w:sz="4" w:space="0"/>
              <w:bottom w:val="single" w:color="auto" w:sz="4" w:space="0"/>
              <w:right w:val="single" w:color="auto" w:sz="4" w:space="0"/>
            </w:tcBorders>
            <w:vAlign w:val="center"/>
          </w:tcPr>
          <w:p w14:paraId="2E9EB00E">
            <w:pPr>
              <w:widowControl w:val="0"/>
              <w:spacing w:before="120" w:after="120"/>
              <w:ind w:right="142"/>
              <w:contextualSpacing/>
              <w:jc w:val="center"/>
              <w:rPr>
                <w:rFonts w:eastAsia="Arial Unicode MS"/>
                <w:color w:val="000000"/>
                <w:lang w:bidi="ru-RU"/>
              </w:rPr>
            </w:pPr>
            <w:r>
              <w:rPr>
                <w:rFonts w:eastAsia="Arial Unicode MS"/>
                <w:color w:val="000000"/>
                <w:lang w:bidi="ru-RU"/>
              </w:rPr>
              <w:t>обоснование начальных (максимальных) цен контрактов</w:t>
            </w:r>
          </w:p>
        </w:tc>
        <w:tc>
          <w:tcPr>
            <w:tcW w:w="3260" w:type="dxa"/>
            <w:tcBorders>
              <w:top w:val="single" w:color="auto" w:sz="4" w:space="0"/>
              <w:left w:val="single" w:color="auto" w:sz="4" w:space="0"/>
              <w:bottom w:val="single" w:color="auto" w:sz="4" w:space="0"/>
              <w:right w:val="single" w:color="auto" w:sz="4" w:space="0"/>
            </w:tcBorders>
            <w:vAlign w:val="center"/>
          </w:tcPr>
          <w:p w14:paraId="18D4C867">
            <w:pPr>
              <w:widowControl w:val="0"/>
              <w:spacing w:before="120" w:after="120"/>
              <w:ind w:right="142"/>
              <w:contextualSpacing/>
              <w:jc w:val="center"/>
              <w:rPr>
                <w:rFonts w:eastAsia="Arial Unicode MS"/>
                <w:color w:val="000000"/>
                <w:lang w:bidi="ru-RU"/>
              </w:rPr>
            </w:pPr>
            <w:r>
              <w:rPr>
                <w:rFonts w:eastAsia="Calibri"/>
              </w:rPr>
              <w:t>Необоснованное завышение (занижение) начальной (максимальной) цены контракта при осуществлении закупки, с целью привлечения конкретного поставщика (подрядчика, исполнителя), аффилированного с заказчиком или выплачивающего ему незаконное вознаграждение</w:t>
            </w:r>
          </w:p>
        </w:tc>
        <w:tc>
          <w:tcPr>
            <w:tcW w:w="2835" w:type="dxa"/>
            <w:tcBorders>
              <w:top w:val="single" w:color="auto" w:sz="4" w:space="0"/>
              <w:left w:val="single" w:color="auto" w:sz="4" w:space="0"/>
              <w:bottom w:val="single" w:color="auto" w:sz="4" w:space="0"/>
              <w:right w:val="single" w:color="auto" w:sz="4" w:space="0"/>
            </w:tcBorders>
            <w:vAlign w:val="center"/>
          </w:tcPr>
          <w:p w14:paraId="3618DD8D">
            <w:pPr>
              <w:widowControl w:val="0"/>
              <w:spacing w:before="120" w:after="120"/>
              <w:ind w:right="142"/>
              <w:contextualSpacing/>
              <w:jc w:val="center"/>
              <w:rPr>
                <w:rFonts w:eastAsia="Arial Unicode MS"/>
                <w:color w:val="000000"/>
                <w:lang w:bidi="ru-RU"/>
              </w:rPr>
            </w:pPr>
            <w:r>
              <w:t>Инициаторы закупок, специалисты, ответственные за осуществление закупок заказчика</w:t>
            </w:r>
          </w:p>
        </w:tc>
        <w:tc>
          <w:tcPr>
            <w:tcW w:w="2977" w:type="dxa"/>
            <w:tcBorders>
              <w:top w:val="single" w:color="auto" w:sz="4" w:space="0"/>
              <w:left w:val="single" w:color="auto" w:sz="4" w:space="0"/>
              <w:bottom w:val="single" w:color="auto" w:sz="4" w:space="0"/>
              <w:right w:val="single" w:color="auto" w:sz="4" w:space="0"/>
            </w:tcBorders>
            <w:vAlign w:val="center"/>
          </w:tcPr>
          <w:p w14:paraId="72F844A9">
            <w:pPr>
              <w:jc w:val="center"/>
              <w:rPr>
                <w:rFonts w:eastAsia="Arial Unicode MS"/>
                <w:color w:val="000000"/>
                <w:lang w:bidi="ru-RU"/>
              </w:rPr>
            </w:pPr>
            <w:r>
              <w:t>обязательное обоснование начальных (максимальных) цен контрактов, включая обоснование при закупке с единственным поставщиком (подрядчиком, исполнителем)</w:t>
            </w:r>
          </w:p>
        </w:tc>
        <w:tc>
          <w:tcPr>
            <w:tcW w:w="3685" w:type="dxa"/>
            <w:tcBorders>
              <w:top w:val="single" w:color="auto" w:sz="4" w:space="0"/>
              <w:left w:val="single" w:color="auto" w:sz="4" w:space="0"/>
              <w:bottom w:val="single" w:color="auto" w:sz="4" w:space="0"/>
              <w:right w:val="single" w:color="auto" w:sz="4" w:space="0"/>
            </w:tcBorders>
            <w:vAlign w:val="center"/>
          </w:tcPr>
          <w:p w14:paraId="396EEA73">
            <w:pPr>
              <w:spacing w:before="120" w:after="120"/>
              <w:ind w:right="142"/>
              <w:contextualSpacing/>
              <w:jc w:val="center"/>
            </w:pPr>
            <w:r>
              <w:rPr>
                <w:rFonts w:eastAsia="Arial Unicode MS"/>
                <w:color w:val="000000"/>
                <w:lang w:bidi="ru-RU"/>
              </w:rPr>
              <w:t xml:space="preserve">проведение мониторинга цен на товары, работы и услуги в целях недопущения завышения </w:t>
            </w:r>
            <w:r>
              <w:t>начальных (максимальных) цен контрактов при осуществлении закупки;</w:t>
            </w:r>
          </w:p>
          <w:p w14:paraId="6F251CB5">
            <w:pPr>
              <w:spacing w:before="120" w:after="120"/>
              <w:ind w:right="142"/>
              <w:contextualSpacing/>
              <w:jc w:val="center"/>
              <w:rPr>
                <w:rFonts w:eastAsia="Arial Unicode MS"/>
                <w:color w:val="000000"/>
                <w:lang w:bidi="ru-RU"/>
              </w:rPr>
            </w:pPr>
            <w:r>
              <w:t>Проведение внутреннего ведомственного контроля Заказчиком (уполномоченным учреждением)</w:t>
            </w:r>
          </w:p>
        </w:tc>
      </w:tr>
      <w:tr w14:paraId="481FFA77">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tcPr>
          <w:p w14:paraId="7BF9DEA4">
            <w:pPr>
              <w:autoSpaceDE w:val="0"/>
              <w:autoSpaceDN w:val="0"/>
              <w:adjustRightInd w:val="0"/>
              <w:rPr>
                <w:rFonts w:eastAsiaTheme="minorHAnsi"/>
                <w:sz w:val="28"/>
                <w:szCs w:val="28"/>
                <w:lang w:eastAsia="en-US"/>
              </w:rPr>
            </w:pPr>
            <w:r>
              <w:rPr>
                <w:rFonts w:eastAsiaTheme="minorHAnsi"/>
                <w:sz w:val="28"/>
                <w:szCs w:val="28"/>
                <w:lang w:eastAsia="en-US"/>
              </w:rPr>
              <w:t>2.</w:t>
            </w:r>
          </w:p>
        </w:tc>
        <w:tc>
          <w:tcPr>
            <w:tcW w:w="2132" w:type="dxa"/>
            <w:tcBorders>
              <w:top w:val="single" w:color="auto" w:sz="4" w:space="0"/>
              <w:left w:val="single" w:color="auto" w:sz="4" w:space="0"/>
              <w:bottom w:val="single" w:color="auto" w:sz="4" w:space="0"/>
              <w:right w:val="single" w:color="auto" w:sz="4" w:space="0"/>
            </w:tcBorders>
            <w:vAlign w:val="center"/>
          </w:tcPr>
          <w:p w14:paraId="3BDF2F4B">
            <w:pPr>
              <w:widowControl w:val="0"/>
              <w:spacing w:before="120" w:after="120"/>
              <w:ind w:right="142"/>
              <w:contextualSpacing/>
              <w:jc w:val="center"/>
              <w:rPr>
                <w:rFonts w:eastAsia="Arial Unicode MS"/>
                <w:color w:val="000000"/>
                <w:lang w:bidi="ru-RU"/>
              </w:rPr>
            </w:pPr>
            <w:r>
              <w:t>выбор способа закупки</w:t>
            </w:r>
          </w:p>
        </w:tc>
        <w:tc>
          <w:tcPr>
            <w:tcW w:w="3260" w:type="dxa"/>
            <w:tcBorders>
              <w:top w:val="single" w:color="auto" w:sz="4" w:space="0"/>
              <w:left w:val="single" w:color="auto" w:sz="4" w:space="0"/>
              <w:bottom w:val="single" w:color="auto" w:sz="4" w:space="0"/>
              <w:right w:val="single" w:color="auto" w:sz="4" w:space="0"/>
            </w:tcBorders>
            <w:vAlign w:val="center"/>
          </w:tcPr>
          <w:p w14:paraId="7C261181">
            <w:pPr>
              <w:widowControl w:val="0"/>
              <w:spacing w:before="120" w:after="120"/>
              <w:ind w:right="142"/>
              <w:contextualSpacing/>
              <w:jc w:val="center"/>
            </w:pPr>
            <w:r>
              <w:rPr>
                <w:bCs/>
              </w:rPr>
              <w:t>искусственное дробление закупки на несколько отдельных с целью исключения конкурентного способа определения поставщика</w:t>
            </w:r>
          </w:p>
        </w:tc>
        <w:tc>
          <w:tcPr>
            <w:tcW w:w="2835" w:type="dxa"/>
            <w:tcBorders>
              <w:top w:val="single" w:color="auto" w:sz="4" w:space="0"/>
              <w:left w:val="single" w:color="auto" w:sz="4" w:space="0"/>
              <w:bottom w:val="single" w:color="auto" w:sz="4" w:space="0"/>
              <w:right w:val="single" w:color="auto" w:sz="4" w:space="0"/>
            </w:tcBorders>
            <w:vAlign w:val="center"/>
          </w:tcPr>
          <w:p w14:paraId="5B7A8A15">
            <w:pPr>
              <w:widowControl w:val="0"/>
              <w:spacing w:before="120" w:after="120"/>
              <w:ind w:right="142"/>
              <w:contextualSpacing/>
              <w:jc w:val="center"/>
            </w:pPr>
            <w:r>
              <w:t>Инициаторы закупок, специалисты, ответственные за осуществление закупок заказчика (уполномоченного учреждения)</w:t>
            </w:r>
          </w:p>
        </w:tc>
        <w:tc>
          <w:tcPr>
            <w:tcW w:w="2977" w:type="dxa"/>
            <w:tcBorders>
              <w:top w:val="single" w:color="auto" w:sz="4" w:space="0"/>
              <w:left w:val="single" w:color="auto" w:sz="4" w:space="0"/>
              <w:bottom w:val="single" w:color="auto" w:sz="4" w:space="0"/>
              <w:right w:val="single" w:color="auto" w:sz="4" w:space="0"/>
            </w:tcBorders>
            <w:vAlign w:val="center"/>
          </w:tcPr>
          <w:p w14:paraId="07102A2A">
            <w:pPr>
              <w:autoSpaceDE w:val="0"/>
              <w:autoSpaceDN w:val="0"/>
              <w:adjustRightInd w:val="0"/>
              <w:jc w:val="center"/>
            </w:pPr>
            <w:r>
              <w:t>недопустимость необоснованного дробления закупок, влекущего за собой уход от конкурентных процедур</w:t>
            </w:r>
          </w:p>
        </w:tc>
        <w:tc>
          <w:tcPr>
            <w:tcW w:w="3685" w:type="dxa"/>
            <w:tcBorders>
              <w:top w:val="single" w:color="auto" w:sz="4" w:space="0"/>
              <w:left w:val="single" w:color="auto" w:sz="4" w:space="0"/>
              <w:bottom w:val="single" w:color="auto" w:sz="4" w:space="0"/>
              <w:right w:val="single" w:color="auto" w:sz="4" w:space="0"/>
            </w:tcBorders>
            <w:vAlign w:val="center"/>
          </w:tcPr>
          <w:p w14:paraId="122E3B44">
            <w:pPr>
              <w:spacing w:before="120" w:after="120"/>
              <w:ind w:right="142"/>
              <w:contextualSpacing/>
              <w:jc w:val="center"/>
            </w:pPr>
            <w:r>
              <w:t>проведение мониторинга на предмет выявления неоднократных закупок однородных товаров, работ, услуг.</w:t>
            </w:r>
          </w:p>
          <w:p w14:paraId="12A4676A">
            <w:pPr>
              <w:spacing w:before="120" w:after="120"/>
              <w:ind w:right="142"/>
              <w:contextualSpacing/>
              <w:jc w:val="center"/>
            </w:pPr>
          </w:p>
        </w:tc>
      </w:tr>
      <w:tr w14:paraId="39DFA6AA">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tcPr>
          <w:p w14:paraId="0DD88079">
            <w:pPr>
              <w:autoSpaceDE w:val="0"/>
              <w:autoSpaceDN w:val="0"/>
              <w:adjustRightInd w:val="0"/>
              <w:rPr>
                <w:rFonts w:eastAsiaTheme="minorHAnsi"/>
                <w:sz w:val="28"/>
                <w:szCs w:val="28"/>
                <w:lang w:eastAsia="en-US"/>
              </w:rPr>
            </w:pPr>
            <w:r>
              <w:rPr>
                <w:rFonts w:eastAsiaTheme="minorHAnsi"/>
                <w:sz w:val="28"/>
                <w:szCs w:val="28"/>
                <w:lang w:eastAsia="en-US"/>
              </w:rPr>
              <w:t>3.</w:t>
            </w:r>
          </w:p>
        </w:tc>
        <w:tc>
          <w:tcPr>
            <w:tcW w:w="2132" w:type="dxa"/>
            <w:tcBorders>
              <w:top w:val="single" w:color="auto" w:sz="4" w:space="0"/>
              <w:left w:val="single" w:color="auto" w:sz="4" w:space="0"/>
              <w:bottom w:val="single" w:color="auto" w:sz="4" w:space="0"/>
              <w:right w:val="single" w:color="auto" w:sz="4" w:space="0"/>
            </w:tcBorders>
            <w:vAlign w:val="center"/>
          </w:tcPr>
          <w:p w14:paraId="45C5623F">
            <w:pPr>
              <w:widowControl w:val="0"/>
              <w:spacing w:before="120" w:after="120"/>
              <w:ind w:right="142"/>
              <w:contextualSpacing/>
              <w:jc w:val="center"/>
            </w:pPr>
            <w:r>
              <w:t>Описание объекта закупки и определение условий исполнения контракта</w:t>
            </w:r>
          </w:p>
        </w:tc>
        <w:tc>
          <w:tcPr>
            <w:tcW w:w="3260" w:type="dxa"/>
            <w:tcBorders>
              <w:top w:val="single" w:color="auto" w:sz="4" w:space="0"/>
              <w:left w:val="single" w:color="auto" w:sz="4" w:space="0"/>
              <w:bottom w:val="single" w:color="auto" w:sz="4" w:space="0"/>
              <w:right w:val="single" w:color="auto" w:sz="4" w:space="0"/>
            </w:tcBorders>
            <w:vAlign w:val="center"/>
          </w:tcPr>
          <w:p w14:paraId="4056DEE2">
            <w:pPr>
              <w:widowControl w:val="0"/>
              <w:spacing w:before="120" w:after="120"/>
              <w:ind w:right="142"/>
              <w:contextualSpacing/>
              <w:jc w:val="center"/>
              <w:rPr>
                <w:bCs/>
              </w:rPr>
            </w:pPr>
            <w:r>
              <w:rPr>
                <w:bCs/>
              </w:rPr>
              <w:t>Необоснованное расширение (сужение) круга удовлетворяющей потребности продукции;</w:t>
            </w:r>
          </w:p>
          <w:p w14:paraId="5FB14F54">
            <w:pPr>
              <w:widowControl w:val="0"/>
              <w:spacing w:before="120" w:after="120"/>
              <w:ind w:right="142"/>
              <w:contextualSpacing/>
              <w:jc w:val="center"/>
              <w:rPr>
                <w:bCs/>
              </w:rPr>
            </w:pPr>
            <w:r>
              <w:rPr>
                <w:bCs/>
              </w:rPr>
              <w:t>Необоснованное расширение (ограничение), упрощение (усложнение) необходимых условий контракта и оговорок относительно их исполнения,</w:t>
            </w:r>
          </w:p>
          <w:p w14:paraId="303D3171">
            <w:pPr>
              <w:widowControl w:val="0"/>
              <w:spacing w:before="120" w:after="120"/>
              <w:ind w:right="142"/>
              <w:contextualSpacing/>
              <w:jc w:val="center"/>
              <w:rPr>
                <w:bCs/>
              </w:rPr>
            </w:pPr>
            <w:r>
              <w:rPr>
                <w:bCs/>
              </w:rPr>
              <w:t>формирование наименования объекта закупки, не соответствующего описанию объекта закупки, чтобы ограничить конкуренцию и привлечь конкретного поставщика (подрядчика, исполнителя), аффилированного с заказчиком или выплачивающим ему незаконное вознаграждение</w:t>
            </w:r>
          </w:p>
        </w:tc>
        <w:tc>
          <w:tcPr>
            <w:tcW w:w="2835" w:type="dxa"/>
            <w:tcBorders>
              <w:top w:val="single" w:color="auto" w:sz="4" w:space="0"/>
              <w:left w:val="single" w:color="auto" w:sz="4" w:space="0"/>
              <w:bottom w:val="single" w:color="auto" w:sz="4" w:space="0"/>
              <w:right w:val="single" w:color="auto" w:sz="4" w:space="0"/>
            </w:tcBorders>
            <w:vAlign w:val="center"/>
          </w:tcPr>
          <w:p w14:paraId="369E936B">
            <w:pPr>
              <w:widowControl w:val="0"/>
              <w:spacing w:before="120" w:after="120"/>
              <w:ind w:right="142"/>
              <w:contextualSpacing/>
              <w:jc w:val="center"/>
            </w:pPr>
            <w:r>
              <w:t>Инициаторы закупок, специалисты, ответственные за формирование задания на поставку товаров, выполнение работ, оказание услуг; руководитель и члены контрактной службы заказчика (уполномоченного учреждения)</w:t>
            </w:r>
          </w:p>
        </w:tc>
        <w:tc>
          <w:tcPr>
            <w:tcW w:w="2977" w:type="dxa"/>
            <w:tcBorders>
              <w:top w:val="single" w:color="auto" w:sz="4" w:space="0"/>
              <w:left w:val="single" w:color="auto" w:sz="4" w:space="0"/>
              <w:bottom w:val="single" w:color="auto" w:sz="4" w:space="0"/>
              <w:right w:val="single" w:color="auto" w:sz="4" w:space="0"/>
            </w:tcBorders>
            <w:vAlign w:val="center"/>
          </w:tcPr>
          <w:p w14:paraId="7C8A41C4">
            <w:pPr>
              <w:autoSpaceDE w:val="0"/>
              <w:autoSpaceDN w:val="0"/>
              <w:adjustRightInd w:val="0"/>
              <w:jc w:val="center"/>
            </w:pPr>
            <w:r>
              <w:t>Оценка специалистами, ответственными за осуществление закупок соответствия наименования объекта закупки описанию объекта закупки в соответствии с требованиями законодательства о контрактной системе</w:t>
            </w:r>
          </w:p>
        </w:tc>
        <w:tc>
          <w:tcPr>
            <w:tcW w:w="3685" w:type="dxa"/>
            <w:tcBorders>
              <w:top w:val="single" w:color="auto" w:sz="4" w:space="0"/>
              <w:left w:val="single" w:color="auto" w:sz="4" w:space="0"/>
              <w:bottom w:val="single" w:color="auto" w:sz="4" w:space="0"/>
              <w:right w:val="single" w:color="auto" w:sz="4" w:space="0"/>
            </w:tcBorders>
            <w:vAlign w:val="center"/>
          </w:tcPr>
          <w:p w14:paraId="5F09EA7F">
            <w:r>
              <w:t>проведение проверки аффилированности участников закупок с должностными лицами заказчика (уполномоченного учреждения), членами комиссий по осуществлении закупок</w:t>
            </w:r>
          </w:p>
          <w:p w14:paraId="1A75F25D">
            <w:pPr>
              <w:spacing w:before="120" w:after="120"/>
              <w:ind w:right="142"/>
              <w:contextualSpacing/>
              <w:jc w:val="center"/>
            </w:pPr>
          </w:p>
        </w:tc>
      </w:tr>
      <w:tr w14:paraId="4D0E91E7">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tcPr>
          <w:p w14:paraId="5409892B">
            <w:pPr>
              <w:autoSpaceDE w:val="0"/>
              <w:autoSpaceDN w:val="0"/>
              <w:adjustRightInd w:val="0"/>
              <w:rPr>
                <w:rFonts w:eastAsiaTheme="minorHAnsi"/>
                <w:sz w:val="28"/>
                <w:szCs w:val="28"/>
                <w:lang w:eastAsia="en-US"/>
              </w:rPr>
            </w:pPr>
            <w:r>
              <w:rPr>
                <w:rFonts w:eastAsiaTheme="minorHAnsi"/>
                <w:sz w:val="28"/>
                <w:szCs w:val="28"/>
                <w:lang w:eastAsia="en-US"/>
              </w:rPr>
              <w:t>4</w:t>
            </w:r>
          </w:p>
        </w:tc>
        <w:tc>
          <w:tcPr>
            <w:tcW w:w="2132" w:type="dxa"/>
            <w:tcBorders>
              <w:top w:val="single" w:color="auto" w:sz="4" w:space="0"/>
              <w:left w:val="single" w:color="auto" w:sz="4" w:space="0"/>
              <w:bottom w:val="single" w:color="auto" w:sz="4" w:space="0"/>
              <w:right w:val="single" w:color="auto" w:sz="4" w:space="0"/>
            </w:tcBorders>
            <w:vAlign w:val="center"/>
          </w:tcPr>
          <w:p w14:paraId="0CE0266B">
            <w:pPr>
              <w:widowControl w:val="0"/>
              <w:spacing w:before="120" w:after="120"/>
              <w:ind w:right="142"/>
              <w:contextualSpacing/>
              <w:jc w:val="center"/>
            </w:pPr>
            <w:r>
              <w:t>Публикация информации о закупке в ЕИС</w:t>
            </w:r>
          </w:p>
        </w:tc>
        <w:tc>
          <w:tcPr>
            <w:tcW w:w="3260" w:type="dxa"/>
            <w:tcBorders>
              <w:top w:val="single" w:color="auto" w:sz="4" w:space="0"/>
              <w:left w:val="single" w:color="auto" w:sz="4" w:space="0"/>
              <w:bottom w:val="single" w:color="auto" w:sz="4" w:space="0"/>
              <w:right w:val="single" w:color="auto" w:sz="4" w:space="0"/>
            </w:tcBorders>
            <w:vAlign w:val="center"/>
          </w:tcPr>
          <w:p w14:paraId="0E2E8AA6">
            <w:pPr>
              <w:widowControl w:val="0"/>
              <w:spacing w:before="120" w:after="120"/>
              <w:ind w:right="142"/>
              <w:contextualSpacing/>
              <w:jc w:val="center"/>
            </w:pPr>
            <w:r>
              <w:t>при публикации информации о закупке в ЕИС используются неправильные классификаторы, чтобы привлечь конкретного поставщика (подрядчика, исполнителя), аффилированного с заказчиком или выплачивающим ему незаконное вознаграждение;</w:t>
            </w:r>
          </w:p>
          <w:p w14:paraId="2A89C97D">
            <w:pPr>
              <w:widowControl w:val="0"/>
              <w:spacing w:before="120" w:after="120"/>
              <w:ind w:right="142"/>
              <w:contextualSpacing/>
              <w:jc w:val="center"/>
            </w:pPr>
          </w:p>
          <w:p w14:paraId="03038952">
            <w:pPr>
              <w:widowControl w:val="0"/>
              <w:spacing w:before="120" w:after="120"/>
              <w:ind w:right="142"/>
              <w:contextualSpacing/>
              <w:jc w:val="center"/>
            </w:pPr>
            <w:r>
              <w:t>опубликованные документы закупки невозможно или сложно открыть, прочитать, скопировать, что может повлечь привлечение конкретного поставщика (подрядчика, исполнителя), аффилированного с заказчиком или выплачивающим ему незаконное вознаграждение</w:t>
            </w:r>
          </w:p>
        </w:tc>
        <w:tc>
          <w:tcPr>
            <w:tcW w:w="2835" w:type="dxa"/>
            <w:tcBorders>
              <w:top w:val="single" w:color="auto" w:sz="4" w:space="0"/>
              <w:left w:val="single" w:color="auto" w:sz="4" w:space="0"/>
              <w:bottom w:val="single" w:color="auto" w:sz="4" w:space="0"/>
              <w:right w:val="single" w:color="auto" w:sz="4" w:space="0"/>
            </w:tcBorders>
            <w:vAlign w:val="center"/>
          </w:tcPr>
          <w:p w14:paraId="39B7B826">
            <w:pPr>
              <w:widowControl w:val="0"/>
              <w:spacing w:before="120" w:after="120"/>
              <w:ind w:right="142"/>
              <w:contextualSpacing/>
              <w:jc w:val="center"/>
            </w:pPr>
            <w:r>
              <w:t>специалисты, ответственные за осуществление закупок заказчика (уполномоченного учреждения)</w:t>
            </w:r>
          </w:p>
        </w:tc>
        <w:tc>
          <w:tcPr>
            <w:tcW w:w="2977" w:type="dxa"/>
            <w:tcBorders>
              <w:top w:val="single" w:color="auto" w:sz="4" w:space="0"/>
              <w:left w:val="single" w:color="auto" w:sz="4" w:space="0"/>
              <w:bottom w:val="single" w:color="auto" w:sz="4" w:space="0"/>
              <w:right w:val="single" w:color="auto" w:sz="4" w:space="0"/>
            </w:tcBorders>
            <w:vAlign w:val="center"/>
          </w:tcPr>
          <w:p w14:paraId="58206DD6">
            <w:pPr>
              <w:jc w:val="center"/>
            </w:pPr>
            <w:r>
              <w:t xml:space="preserve">Использование классификаторов, позволяющих идентифицировать закупку в ЕИС; </w:t>
            </w:r>
          </w:p>
          <w:p w14:paraId="6F228806">
            <w:pPr>
              <w:jc w:val="center"/>
            </w:pPr>
          </w:p>
          <w:p w14:paraId="1AC953DB">
            <w:pPr>
              <w:jc w:val="center"/>
            </w:pPr>
          </w:p>
          <w:p w14:paraId="38A2ADD5">
            <w:pPr>
              <w:jc w:val="center"/>
            </w:pPr>
          </w:p>
          <w:p w14:paraId="53F3A3D6">
            <w:pPr>
              <w:jc w:val="center"/>
            </w:pPr>
            <w:r>
              <w:t>опубликование документов закупки осуществляется в формате, обеспечивающем возможность сохранения на технических средствах, поиска и копирования произвольных фрагментов текста</w:t>
            </w:r>
          </w:p>
        </w:tc>
        <w:tc>
          <w:tcPr>
            <w:tcW w:w="3685" w:type="dxa"/>
            <w:tcBorders>
              <w:top w:val="single" w:color="auto" w:sz="4" w:space="0"/>
              <w:left w:val="single" w:color="auto" w:sz="4" w:space="0"/>
              <w:bottom w:val="single" w:color="auto" w:sz="4" w:space="0"/>
              <w:right w:val="single" w:color="auto" w:sz="4" w:space="0"/>
            </w:tcBorders>
            <w:vAlign w:val="center"/>
          </w:tcPr>
          <w:p w14:paraId="44E13251">
            <w:pPr>
              <w:autoSpaceDE w:val="0"/>
              <w:autoSpaceDN w:val="0"/>
              <w:adjustRightInd w:val="0"/>
              <w:jc w:val="center"/>
            </w:pPr>
            <w:r>
              <w:t xml:space="preserve">Осуществление взаимодействия с общественными объединениями и (или) объединениями юридических лиц, осуществляющими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 </w:t>
            </w:r>
          </w:p>
          <w:p w14:paraId="0E5424A5">
            <w:pPr>
              <w:autoSpaceDE w:val="0"/>
              <w:autoSpaceDN w:val="0"/>
              <w:adjustRightInd w:val="0"/>
              <w:jc w:val="center"/>
            </w:pPr>
            <w:r>
              <w:t>Проведение внутреннего ведомственного контроля Заказчиком (уполномоченным учреждением).</w:t>
            </w:r>
          </w:p>
        </w:tc>
      </w:tr>
      <w:tr w14:paraId="60F1C005">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tcPr>
          <w:p w14:paraId="43001B17">
            <w:pPr>
              <w:autoSpaceDE w:val="0"/>
              <w:autoSpaceDN w:val="0"/>
              <w:adjustRightInd w:val="0"/>
              <w:rPr>
                <w:rFonts w:eastAsiaTheme="minorHAnsi"/>
                <w:sz w:val="28"/>
                <w:szCs w:val="28"/>
                <w:lang w:eastAsia="en-US"/>
              </w:rPr>
            </w:pPr>
            <w:r>
              <w:rPr>
                <w:rFonts w:eastAsiaTheme="minorHAnsi"/>
                <w:sz w:val="28"/>
                <w:szCs w:val="28"/>
                <w:lang w:eastAsia="en-US"/>
              </w:rPr>
              <w:t>5</w:t>
            </w:r>
          </w:p>
        </w:tc>
        <w:tc>
          <w:tcPr>
            <w:tcW w:w="2132" w:type="dxa"/>
            <w:tcBorders>
              <w:top w:val="single" w:color="auto" w:sz="4" w:space="0"/>
              <w:left w:val="single" w:color="auto" w:sz="4" w:space="0"/>
              <w:bottom w:val="single" w:color="auto" w:sz="4" w:space="0"/>
              <w:right w:val="single" w:color="auto" w:sz="4" w:space="0"/>
            </w:tcBorders>
            <w:vAlign w:val="center"/>
          </w:tcPr>
          <w:p w14:paraId="761C28D4">
            <w:pPr>
              <w:widowControl w:val="0"/>
              <w:spacing w:before="120" w:after="120"/>
              <w:ind w:right="142"/>
              <w:contextualSpacing/>
              <w:jc w:val="center"/>
            </w:pPr>
            <w:r>
              <w:t xml:space="preserve">Подготовка документации на осуществление закупки товаров, работ, услуг </w:t>
            </w:r>
          </w:p>
        </w:tc>
        <w:tc>
          <w:tcPr>
            <w:tcW w:w="3260" w:type="dxa"/>
            <w:tcBorders>
              <w:top w:val="single" w:color="auto" w:sz="4" w:space="0"/>
              <w:left w:val="single" w:color="auto" w:sz="4" w:space="0"/>
              <w:bottom w:val="single" w:color="auto" w:sz="4" w:space="0"/>
              <w:right w:val="single" w:color="auto" w:sz="4" w:space="0"/>
            </w:tcBorders>
            <w:vAlign w:val="center"/>
          </w:tcPr>
          <w:p w14:paraId="3157474D">
            <w:pPr>
              <w:widowControl w:val="0"/>
              <w:spacing w:before="120" w:after="120"/>
              <w:ind w:right="142"/>
              <w:contextualSpacing/>
              <w:jc w:val="center"/>
              <w:rPr>
                <w:bCs/>
              </w:rPr>
            </w:pPr>
            <w:r>
              <w:t>Установление необоснованных преимуществ для отдельных лиц при осуществлении закупок товаров, работ, услуг</w:t>
            </w:r>
          </w:p>
        </w:tc>
        <w:tc>
          <w:tcPr>
            <w:tcW w:w="2835" w:type="dxa"/>
            <w:tcBorders>
              <w:top w:val="single" w:color="auto" w:sz="4" w:space="0"/>
              <w:left w:val="single" w:color="auto" w:sz="4" w:space="0"/>
              <w:bottom w:val="single" w:color="auto" w:sz="4" w:space="0"/>
              <w:right w:val="single" w:color="auto" w:sz="4" w:space="0"/>
            </w:tcBorders>
            <w:vAlign w:val="center"/>
          </w:tcPr>
          <w:p w14:paraId="7C57193B">
            <w:pPr>
              <w:widowControl w:val="0"/>
              <w:spacing w:before="120" w:after="120"/>
              <w:ind w:right="142"/>
              <w:contextualSpacing/>
              <w:jc w:val="center"/>
            </w:pPr>
            <w:r>
              <w:t>специалисты, ответственные за осуществление закупок заказчика (уполномоченного учреждения)</w:t>
            </w:r>
          </w:p>
        </w:tc>
        <w:tc>
          <w:tcPr>
            <w:tcW w:w="2977" w:type="dxa"/>
            <w:tcBorders>
              <w:top w:val="single" w:color="auto" w:sz="4" w:space="0"/>
              <w:left w:val="single" w:color="auto" w:sz="4" w:space="0"/>
              <w:bottom w:val="single" w:color="auto" w:sz="4" w:space="0"/>
              <w:right w:val="single" w:color="auto" w:sz="4" w:space="0"/>
            </w:tcBorders>
            <w:vAlign w:val="center"/>
          </w:tcPr>
          <w:p w14:paraId="346FD87B">
            <w:pPr>
              <w:jc w:val="center"/>
            </w:pPr>
            <w:r>
              <w:t>установление единых требований к участникам закупки, соблюдение правил описания закупки</w:t>
            </w:r>
          </w:p>
        </w:tc>
        <w:tc>
          <w:tcPr>
            <w:tcW w:w="3685" w:type="dxa"/>
            <w:tcBorders>
              <w:top w:val="single" w:color="auto" w:sz="4" w:space="0"/>
              <w:left w:val="single" w:color="auto" w:sz="4" w:space="0"/>
              <w:bottom w:val="single" w:color="auto" w:sz="4" w:space="0"/>
              <w:right w:val="single" w:color="auto" w:sz="4" w:space="0"/>
            </w:tcBorders>
            <w:vAlign w:val="center"/>
          </w:tcPr>
          <w:p w14:paraId="41D0BDD3">
            <w:pPr>
              <w:autoSpaceDE w:val="0"/>
              <w:autoSpaceDN w:val="0"/>
              <w:adjustRightInd w:val="0"/>
              <w:jc w:val="center"/>
            </w:pPr>
            <w:r>
              <w:t>Проведение внутреннего ведомственного контроля Заказчиком (уполномоченным учреждением).</w:t>
            </w:r>
          </w:p>
          <w:p w14:paraId="000F2B03">
            <w:pPr>
              <w:spacing w:before="120" w:after="120"/>
              <w:ind w:right="142"/>
              <w:contextualSpacing/>
              <w:jc w:val="center"/>
            </w:pPr>
          </w:p>
        </w:tc>
      </w:tr>
      <w:tr w14:paraId="19198BB1">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tcPr>
          <w:p w14:paraId="356066EC">
            <w:pPr>
              <w:autoSpaceDE w:val="0"/>
              <w:autoSpaceDN w:val="0"/>
              <w:adjustRightInd w:val="0"/>
              <w:rPr>
                <w:rFonts w:eastAsiaTheme="minorHAnsi"/>
                <w:sz w:val="28"/>
                <w:szCs w:val="28"/>
                <w:lang w:eastAsia="en-US"/>
              </w:rPr>
            </w:pPr>
            <w:r>
              <w:rPr>
                <w:rFonts w:eastAsiaTheme="minorHAnsi"/>
                <w:sz w:val="28"/>
                <w:szCs w:val="28"/>
                <w:lang w:eastAsia="en-US"/>
              </w:rPr>
              <w:t>6</w:t>
            </w:r>
          </w:p>
        </w:tc>
        <w:tc>
          <w:tcPr>
            <w:tcW w:w="2132" w:type="dxa"/>
            <w:tcBorders>
              <w:top w:val="single" w:color="auto" w:sz="4" w:space="0"/>
              <w:left w:val="single" w:color="auto" w:sz="4" w:space="0"/>
              <w:bottom w:val="single" w:color="auto" w:sz="4" w:space="0"/>
              <w:right w:val="single" w:color="auto" w:sz="4" w:space="0"/>
            </w:tcBorders>
          </w:tcPr>
          <w:p w14:paraId="4E592A73">
            <w:r>
              <w:t>Определение поставщиков (подрядчиков, исполнителей)</w:t>
            </w:r>
          </w:p>
        </w:tc>
        <w:tc>
          <w:tcPr>
            <w:tcW w:w="3260" w:type="dxa"/>
            <w:tcBorders>
              <w:top w:val="single" w:color="auto" w:sz="4" w:space="0"/>
              <w:left w:val="single" w:color="auto" w:sz="4" w:space="0"/>
              <w:bottom w:val="single" w:color="auto" w:sz="4" w:space="0"/>
              <w:right w:val="single" w:color="auto" w:sz="4" w:space="0"/>
            </w:tcBorders>
          </w:tcPr>
          <w:p w14:paraId="4DBE58E4">
            <w:pPr>
              <w:autoSpaceDE w:val="0"/>
              <w:autoSpaceDN w:val="0"/>
              <w:adjustRightInd w:val="0"/>
            </w:pPr>
            <w:r>
              <w:t>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что может привести к созданию для участника закупки необоснованных преимуществ и повлечь привлечение конкретного поставщика (подрядчика, исполнителя), аффилированного с заказчиком или выплачивающим ему незаконное вознаграждение</w:t>
            </w:r>
          </w:p>
        </w:tc>
        <w:tc>
          <w:tcPr>
            <w:tcW w:w="2835" w:type="dxa"/>
            <w:tcBorders>
              <w:top w:val="single" w:color="auto" w:sz="4" w:space="0"/>
              <w:left w:val="single" w:color="auto" w:sz="4" w:space="0"/>
              <w:bottom w:val="single" w:color="auto" w:sz="4" w:space="0"/>
              <w:right w:val="single" w:color="auto" w:sz="4" w:space="0"/>
            </w:tcBorders>
          </w:tcPr>
          <w:p w14:paraId="1A64F7E0">
            <w:pPr>
              <w:autoSpaceDE w:val="0"/>
              <w:autoSpaceDN w:val="0"/>
              <w:adjustRightInd w:val="0"/>
              <w:jc w:val="center"/>
            </w:pPr>
            <w:r>
              <w:t>специалисты, ответственные за осуществление закупок заказчика (уполномоченного учреждения), члены комиссий по осуществлению закупок</w:t>
            </w:r>
          </w:p>
        </w:tc>
        <w:tc>
          <w:tcPr>
            <w:tcW w:w="2977" w:type="dxa"/>
            <w:tcBorders>
              <w:top w:val="single" w:color="auto" w:sz="4" w:space="0"/>
              <w:left w:val="single" w:color="auto" w:sz="4" w:space="0"/>
              <w:bottom w:val="single" w:color="auto" w:sz="4" w:space="0"/>
              <w:right w:val="single" w:color="auto" w:sz="4" w:space="0"/>
            </w:tcBorders>
          </w:tcPr>
          <w:p w14:paraId="2E860612">
            <w:pPr>
              <w:autoSpaceDE w:val="0"/>
              <w:autoSpaceDN w:val="0"/>
              <w:adjustRightInd w:val="0"/>
            </w:pPr>
            <w:r>
              <w:t>информирование должностных лиц, ответственных за формирование задания на поставку товаров, выполнение работ, оказание услуг о недопустимости переговоров с участниками закупок до выявления победителя</w:t>
            </w:r>
          </w:p>
        </w:tc>
        <w:tc>
          <w:tcPr>
            <w:tcW w:w="3685" w:type="dxa"/>
            <w:tcBorders>
              <w:top w:val="single" w:color="auto" w:sz="4" w:space="0"/>
              <w:left w:val="single" w:color="auto" w:sz="4" w:space="0"/>
              <w:bottom w:val="single" w:color="auto" w:sz="4" w:space="0"/>
              <w:right w:val="single" w:color="auto" w:sz="4" w:space="0"/>
            </w:tcBorders>
          </w:tcPr>
          <w:p w14:paraId="66A3B522">
            <w:pPr>
              <w:autoSpaceDE w:val="0"/>
              <w:autoSpaceDN w:val="0"/>
              <w:adjustRightInd w:val="0"/>
            </w:pPr>
            <w:r>
              <w:t xml:space="preserve">Проведение внутреннего ведомственного контроля Заказчиком (уполномоченным учреждением); </w:t>
            </w:r>
          </w:p>
          <w:p w14:paraId="3168B5F7">
            <w:pPr>
              <w:autoSpaceDE w:val="0"/>
              <w:autoSpaceDN w:val="0"/>
              <w:adjustRightInd w:val="0"/>
            </w:pPr>
            <w:r>
              <w:t>проведение проверок должностными лицами, ответственными за профилактику коррупционных и иных правонарушений, соблюдения должностными лицами заказчика требований о предотвращении или урегулировании конфликта интересов</w:t>
            </w:r>
          </w:p>
        </w:tc>
      </w:tr>
      <w:tr w14:paraId="07769F8F">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tcPr>
          <w:p w14:paraId="0410B94E">
            <w:pPr>
              <w:autoSpaceDE w:val="0"/>
              <w:autoSpaceDN w:val="0"/>
              <w:adjustRightInd w:val="0"/>
            </w:pPr>
            <w:r>
              <w:t>7</w:t>
            </w:r>
          </w:p>
        </w:tc>
        <w:tc>
          <w:tcPr>
            <w:tcW w:w="2132" w:type="dxa"/>
            <w:tcBorders>
              <w:top w:val="single" w:color="auto" w:sz="4" w:space="0"/>
              <w:left w:val="single" w:color="auto" w:sz="4" w:space="0"/>
              <w:bottom w:val="single" w:color="auto" w:sz="4" w:space="0"/>
              <w:right w:val="single" w:color="auto" w:sz="4" w:space="0"/>
            </w:tcBorders>
          </w:tcPr>
          <w:p w14:paraId="10A19B10">
            <w:pPr>
              <w:autoSpaceDE w:val="0"/>
              <w:autoSpaceDN w:val="0"/>
              <w:adjustRightInd w:val="0"/>
            </w:pPr>
            <w:r>
              <w:t>рассмотрение заявок на участие в закупке</w:t>
            </w:r>
          </w:p>
        </w:tc>
        <w:tc>
          <w:tcPr>
            <w:tcW w:w="3260" w:type="dxa"/>
            <w:tcBorders>
              <w:top w:val="single" w:color="auto" w:sz="4" w:space="0"/>
              <w:left w:val="single" w:color="auto" w:sz="4" w:space="0"/>
              <w:bottom w:val="single" w:color="auto" w:sz="4" w:space="0"/>
              <w:right w:val="single" w:color="auto" w:sz="4" w:space="0"/>
            </w:tcBorders>
          </w:tcPr>
          <w:p w14:paraId="22C6715B">
            <w:pPr>
              <w:autoSpaceDE w:val="0"/>
              <w:autoSpaceDN w:val="0"/>
              <w:adjustRightInd w:val="0"/>
            </w:pPr>
            <w:r>
              <w:t>предоставление необоснованных преимуществ участникам закупки, в том числе разное отношение к разным участникам закупки по одинаковым (схожим) условиям, указанным в заявках, что может повлечь привлечение конкретного поставщика (подрядчика, исполнителя), аффилированного с заказчиком или выплачивающим ему незаконное вознаграждение</w:t>
            </w:r>
          </w:p>
        </w:tc>
        <w:tc>
          <w:tcPr>
            <w:tcW w:w="2835" w:type="dxa"/>
            <w:tcBorders>
              <w:top w:val="single" w:color="auto" w:sz="4" w:space="0"/>
              <w:left w:val="single" w:color="auto" w:sz="4" w:space="0"/>
              <w:bottom w:val="single" w:color="auto" w:sz="4" w:space="0"/>
              <w:right w:val="single" w:color="auto" w:sz="4" w:space="0"/>
            </w:tcBorders>
          </w:tcPr>
          <w:p w14:paraId="31F780E8">
            <w:pPr>
              <w:autoSpaceDE w:val="0"/>
              <w:autoSpaceDN w:val="0"/>
              <w:adjustRightInd w:val="0"/>
            </w:pPr>
            <w:r>
              <w:t>члены комиссий по осуществлению закупок</w:t>
            </w:r>
          </w:p>
        </w:tc>
        <w:tc>
          <w:tcPr>
            <w:tcW w:w="2977" w:type="dxa"/>
            <w:tcBorders>
              <w:top w:val="single" w:color="auto" w:sz="4" w:space="0"/>
              <w:left w:val="single" w:color="auto" w:sz="4" w:space="0"/>
              <w:bottom w:val="single" w:color="auto" w:sz="4" w:space="0"/>
              <w:right w:val="single" w:color="auto" w:sz="4" w:space="0"/>
            </w:tcBorders>
          </w:tcPr>
          <w:p w14:paraId="7F191DBE">
            <w:pPr>
              <w:autoSpaceDE w:val="0"/>
              <w:autoSpaceDN w:val="0"/>
              <w:adjustRightInd w:val="0"/>
            </w:pPr>
            <w:r>
              <w:t>указание в документации о закупке максимально подробное описания объекта закупки, требований к участникам закупки и четкое формулирование условий подтверждения таких требований, а также установление в документации о закупке типовых форм предоставления необходимых сведений и инструкции по заполнению заявки;</w:t>
            </w:r>
          </w:p>
          <w:p w14:paraId="0196FD96">
            <w:pPr>
              <w:autoSpaceDE w:val="0"/>
              <w:autoSpaceDN w:val="0"/>
              <w:adjustRightInd w:val="0"/>
            </w:pPr>
            <w:r>
              <w:t>размещение протоколов рассмотрения первых частей заявок на участие в аукционе в электронной форме, подведения итогов аукциона в электронной форме в открытом доступе в ЕИС</w:t>
            </w:r>
          </w:p>
        </w:tc>
        <w:tc>
          <w:tcPr>
            <w:tcW w:w="3685" w:type="dxa"/>
            <w:tcBorders>
              <w:top w:val="single" w:color="auto" w:sz="4" w:space="0"/>
              <w:left w:val="single" w:color="auto" w:sz="4" w:space="0"/>
              <w:bottom w:val="single" w:color="auto" w:sz="4" w:space="0"/>
              <w:right w:val="single" w:color="auto" w:sz="4" w:space="0"/>
            </w:tcBorders>
          </w:tcPr>
          <w:p w14:paraId="188B04D7">
            <w:r>
              <w:t>проведение проверки аффилированности участников закупок с должностными лицами заказчика (уполномоченного учреждения), членами комиссий по осуществлении закупок</w:t>
            </w:r>
          </w:p>
          <w:p w14:paraId="28455911">
            <w:pPr>
              <w:autoSpaceDE w:val="0"/>
              <w:autoSpaceDN w:val="0"/>
              <w:adjustRightInd w:val="0"/>
            </w:pPr>
          </w:p>
        </w:tc>
      </w:tr>
      <w:tr w14:paraId="1463F379">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tcPr>
          <w:p w14:paraId="6CD3D985">
            <w:pPr>
              <w:autoSpaceDE w:val="0"/>
              <w:autoSpaceDN w:val="0"/>
              <w:adjustRightInd w:val="0"/>
            </w:pPr>
            <w:r>
              <w:t>8</w:t>
            </w:r>
          </w:p>
        </w:tc>
        <w:tc>
          <w:tcPr>
            <w:tcW w:w="2132" w:type="dxa"/>
            <w:tcBorders>
              <w:top w:val="single" w:color="auto" w:sz="4" w:space="0"/>
              <w:left w:val="single" w:color="auto" w:sz="4" w:space="0"/>
              <w:bottom w:val="single" w:color="auto" w:sz="4" w:space="0"/>
              <w:right w:val="single" w:color="auto" w:sz="4" w:space="0"/>
            </w:tcBorders>
          </w:tcPr>
          <w:p w14:paraId="164CBE17">
            <w:pPr>
              <w:autoSpaceDE w:val="0"/>
              <w:autoSpaceDN w:val="0"/>
              <w:adjustRightInd w:val="0"/>
            </w:pPr>
            <w:r>
              <w:t>осуществление контроля сроков и иных аспектов исполнения обязательств (в том числе гарантийного обязательства), предусмотренных условиями контракта</w:t>
            </w:r>
          </w:p>
        </w:tc>
        <w:tc>
          <w:tcPr>
            <w:tcW w:w="3260" w:type="dxa"/>
            <w:tcBorders>
              <w:top w:val="single" w:color="auto" w:sz="4" w:space="0"/>
              <w:left w:val="single" w:color="auto" w:sz="4" w:space="0"/>
              <w:bottom w:val="single" w:color="auto" w:sz="4" w:space="0"/>
              <w:right w:val="single" w:color="auto" w:sz="4" w:space="0"/>
            </w:tcBorders>
          </w:tcPr>
          <w:p w14:paraId="1925307B">
            <w:pPr>
              <w:autoSpaceDE w:val="0"/>
              <w:autoSpaceDN w:val="0"/>
              <w:adjustRightInd w:val="0"/>
            </w:pPr>
            <w:r>
              <w:t>в случае невыполнения  исполнителем условий контракта заказчик не применяет к нему предусмотренные контрактом санкции или необоснованно занижает их размер</w:t>
            </w:r>
          </w:p>
        </w:tc>
        <w:tc>
          <w:tcPr>
            <w:tcW w:w="2835" w:type="dxa"/>
            <w:tcBorders>
              <w:top w:val="single" w:color="auto" w:sz="4" w:space="0"/>
              <w:left w:val="single" w:color="auto" w:sz="4" w:space="0"/>
              <w:bottom w:val="single" w:color="auto" w:sz="4" w:space="0"/>
              <w:right w:val="single" w:color="auto" w:sz="4" w:space="0"/>
            </w:tcBorders>
          </w:tcPr>
          <w:p w14:paraId="42C19408">
            <w:pPr>
              <w:autoSpaceDE w:val="0"/>
              <w:autoSpaceDN w:val="0"/>
              <w:adjustRightInd w:val="0"/>
            </w:pPr>
            <w:r>
              <w:t>специалисты, ответственные за приемку выполненных работ, оказанных услуг и поставленных товаров</w:t>
            </w:r>
            <w:r>
              <w:tab/>
            </w:r>
          </w:p>
        </w:tc>
        <w:tc>
          <w:tcPr>
            <w:tcW w:w="2977" w:type="dxa"/>
            <w:tcBorders>
              <w:top w:val="single" w:color="auto" w:sz="4" w:space="0"/>
              <w:left w:val="single" w:color="auto" w:sz="4" w:space="0"/>
              <w:bottom w:val="single" w:color="auto" w:sz="4" w:space="0"/>
              <w:right w:val="single" w:color="auto" w:sz="4" w:space="0"/>
            </w:tcBorders>
          </w:tcPr>
          <w:p w14:paraId="1758DD56">
            <w:pPr>
              <w:autoSpaceDE w:val="0"/>
              <w:autoSpaceDN w:val="0"/>
              <w:adjustRightInd w:val="0"/>
            </w:pPr>
            <w:r>
              <w:t>в случае выявления нарушений исполнения контракта осуществлять контроль за направлением поставщику (подрядчику, исполнителю) претензий (требований) об уплате неустоек (штрафов, пеней)</w:t>
            </w:r>
          </w:p>
        </w:tc>
        <w:tc>
          <w:tcPr>
            <w:tcW w:w="3685" w:type="dxa"/>
            <w:tcBorders>
              <w:top w:val="single" w:color="auto" w:sz="4" w:space="0"/>
              <w:left w:val="single" w:color="auto" w:sz="4" w:space="0"/>
              <w:bottom w:val="single" w:color="auto" w:sz="4" w:space="0"/>
              <w:right w:val="single" w:color="auto" w:sz="4" w:space="0"/>
            </w:tcBorders>
          </w:tcPr>
          <w:p w14:paraId="472FEB55">
            <w:pPr>
              <w:autoSpaceDE w:val="0"/>
              <w:autoSpaceDN w:val="0"/>
              <w:adjustRightInd w:val="0"/>
            </w:pPr>
            <w:r>
              <w:t>не допускать освобождения от ответственности поставщика (подрядчика, исполнителя) за неисполнение или ненадлежащее исполнение им обязательств, предусмотренных контрактом.</w:t>
            </w:r>
          </w:p>
        </w:tc>
      </w:tr>
      <w:tr w14:paraId="19F89943">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tcPr>
          <w:p w14:paraId="59802965">
            <w:pPr>
              <w:autoSpaceDE w:val="0"/>
              <w:autoSpaceDN w:val="0"/>
              <w:adjustRightInd w:val="0"/>
            </w:pPr>
            <w:r>
              <w:t>9</w:t>
            </w:r>
          </w:p>
        </w:tc>
        <w:tc>
          <w:tcPr>
            <w:tcW w:w="2132" w:type="dxa"/>
            <w:tcBorders>
              <w:top w:val="single" w:color="auto" w:sz="4" w:space="0"/>
              <w:left w:val="single" w:color="auto" w:sz="4" w:space="0"/>
              <w:bottom w:val="single" w:color="auto" w:sz="4" w:space="0"/>
              <w:right w:val="single" w:color="auto" w:sz="4" w:space="0"/>
            </w:tcBorders>
          </w:tcPr>
          <w:p w14:paraId="24C0E9A0">
            <w:pPr>
              <w:autoSpaceDE w:val="0"/>
              <w:autoSpaceDN w:val="0"/>
              <w:adjustRightInd w:val="0"/>
            </w:pPr>
            <w:r>
              <w:t xml:space="preserve">Приемка товаров, работ, услуг </w:t>
            </w:r>
          </w:p>
        </w:tc>
        <w:tc>
          <w:tcPr>
            <w:tcW w:w="3260" w:type="dxa"/>
            <w:tcBorders>
              <w:top w:val="single" w:color="auto" w:sz="4" w:space="0"/>
              <w:left w:val="single" w:color="auto" w:sz="4" w:space="0"/>
              <w:bottom w:val="single" w:color="auto" w:sz="4" w:space="0"/>
              <w:right w:val="single" w:color="auto" w:sz="4" w:space="0"/>
            </w:tcBorders>
          </w:tcPr>
          <w:p w14:paraId="17CF621D">
            <w:pPr>
              <w:autoSpaceDE w:val="0"/>
              <w:autoSpaceDN w:val="0"/>
              <w:adjustRightInd w:val="0"/>
            </w:pPr>
            <w:r>
              <w:t>принятие исполнения поставщиком (подрядчиком, исполнителем) обязательств по контракту (этапу контракта), не соответствующих требованиям контракта;</w:t>
            </w:r>
          </w:p>
          <w:p w14:paraId="09F3B4DA">
            <w:pPr>
              <w:autoSpaceDE w:val="0"/>
              <w:autoSpaceDN w:val="0"/>
              <w:adjustRightInd w:val="0"/>
            </w:pPr>
            <w:r>
              <w:t>получение части денежных средств, перечисленных подрядчикам (исполнителям) за фактически невыполненные работы (оказанные услуги) путем оформления фиктивных актов приемки</w:t>
            </w:r>
          </w:p>
        </w:tc>
        <w:tc>
          <w:tcPr>
            <w:tcW w:w="2835" w:type="dxa"/>
            <w:tcBorders>
              <w:top w:val="single" w:color="auto" w:sz="4" w:space="0"/>
              <w:left w:val="single" w:color="auto" w:sz="4" w:space="0"/>
              <w:bottom w:val="single" w:color="auto" w:sz="4" w:space="0"/>
              <w:right w:val="single" w:color="auto" w:sz="4" w:space="0"/>
            </w:tcBorders>
          </w:tcPr>
          <w:p w14:paraId="656DB927">
            <w:pPr>
              <w:autoSpaceDE w:val="0"/>
              <w:autoSpaceDN w:val="0"/>
              <w:adjustRightInd w:val="0"/>
            </w:pPr>
            <w:r>
              <w:t>специалисты, ответственные за приемку выполненных работ, оказанных услуг и поставленных товаров</w:t>
            </w:r>
          </w:p>
        </w:tc>
        <w:tc>
          <w:tcPr>
            <w:tcW w:w="2977" w:type="dxa"/>
            <w:tcBorders>
              <w:top w:val="single" w:color="auto" w:sz="4" w:space="0"/>
              <w:left w:val="single" w:color="auto" w:sz="4" w:space="0"/>
              <w:bottom w:val="single" w:color="auto" w:sz="4" w:space="0"/>
              <w:right w:val="single" w:color="auto" w:sz="4" w:space="0"/>
            </w:tcBorders>
          </w:tcPr>
          <w:p w14:paraId="3D650295">
            <w:pPr>
              <w:autoSpaceDE w:val="0"/>
              <w:autoSpaceDN w:val="0"/>
              <w:adjustRightInd w:val="0"/>
            </w:pPr>
            <w:r>
              <w:t>размещение документов о приемке и информации об исполнении государственного контракта в открытом доступе в ЕИС</w:t>
            </w:r>
          </w:p>
        </w:tc>
        <w:tc>
          <w:tcPr>
            <w:tcW w:w="3685" w:type="dxa"/>
            <w:tcBorders>
              <w:top w:val="single" w:color="auto" w:sz="4" w:space="0"/>
              <w:left w:val="single" w:color="auto" w:sz="4" w:space="0"/>
              <w:bottom w:val="single" w:color="auto" w:sz="4" w:space="0"/>
              <w:right w:val="single" w:color="auto" w:sz="4" w:space="0"/>
            </w:tcBorders>
          </w:tcPr>
          <w:p w14:paraId="6720D9CE">
            <w:pPr>
              <w:autoSpaceDE w:val="0"/>
              <w:autoSpaceDN w:val="0"/>
              <w:adjustRightInd w:val="0"/>
            </w:pPr>
            <w:r>
              <w:t>организация внутреннего контроля  по оценке исполнения контрактов</w:t>
            </w:r>
          </w:p>
          <w:p w14:paraId="72509F35">
            <w:pPr>
              <w:autoSpaceDE w:val="0"/>
              <w:autoSpaceDN w:val="0"/>
              <w:adjustRightInd w:val="0"/>
            </w:pPr>
            <w:r>
              <w:t>приоритет на разделение обязанностей по проведению закупочных процедур и приемке объектов закупки между различными сотрудниками</w:t>
            </w:r>
          </w:p>
        </w:tc>
      </w:tr>
    </w:tbl>
    <w:p w14:paraId="711C4D1E">
      <w:pPr>
        <w:autoSpaceDE w:val="0"/>
        <w:autoSpaceDN w:val="0"/>
        <w:adjustRightInd w:val="0"/>
        <w:jc w:val="both"/>
        <w:rPr>
          <w:rFonts w:eastAsiaTheme="minorHAnsi"/>
          <w:sz w:val="28"/>
          <w:szCs w:val="28"/>
          <w:lang w:eastAsia="en-US"/>
        </w:rPr>
      </w:pPr>
    </w:p>
    <w:p w14:paraId="1D32E611">
      <w:pPr>
        <w:autoSpaceDE w:val="0"/>
        <w:autoSpaceDN w:val="0"/>
        <w:adjustRightInd w:val="0"/>
        <w:jc w:val="both"/>
        <w:rPr>
          <w:rFonts w:eastAsiaTheme="minorHAnsi"/>
          <w:sz w:val="28"/>
          <w:szCs w:val="28"/>
          <w:lang w:eastAsia="en-US"/>
        </w:rPr>
      </w:pPr>
    </w:p>
    <w:p w14:paraId="44B0E002">
      <w:pPr>
        <w:spacing w:after="200" w:line="276" w:lineRule="auto"/>
        <w:rPr>
          <w:rFonts w:eastAsiaTheme="minorHAnsi"/>
          <w:sz w:val="28"/>
          <w:szCs w:val="28"/>
          <w:lang w:eastAsia="en-US"/>
        </w:rPr>
      </w:pPr>
      <w:r>
        <w:rPr>
          <w:rFonts w:eastAsiaTheme="minorHAnsi"/>
          <w:sz w:val="28"/>
          <w:szCs w:val="28"/>
          <w:lang w:eastAsia="en-US"/>
        </w:rPr>
        <w:br w:type="page"/>
      </w:r>
    </w:p>
    <w:p w14:paraId="6E78875D">
      <w:pPr>
        <w:ind w:left="11057"/>
        <w:jc w:val="both"/>
      </w:pPr>
      <w:r>
        <w:t xml:space="preserve">Приложение №2 </w:t>
      </w:r>
    </w:p>
    <w:p w14:paraId="20EDE26A">
      <w:pPr>
        <w:ind w:left="11057"/>
        <w:jc w:val="both"/>
      </w:pPr>
      <w:r>
        <w:t>к постановлению администрации сельского поселения Акбулатовский сельсовет муниципального района Татышлинский район Республики Башкортостан</w:t>
      </w:r>
    </w:p>
    <w:p w14:paraId="6113B813">
      <w:pPr>
        <w:ind w:left="11057"/>
        <w:jc w:val="both"/>
        <w:rPr>
          <w:rFonts w:hint="default"/>
          <w:lang w:val="ru-RU"/>
        </w:rPr>
      </w:pPr>
      <w:r>
        <w:t>от «</w:t>
      </w:r>
      <w:r>
        <w:rPr>
          <w:rFonts w:hint="default"/>
          <w:lang w:val="ru-RU"/>
        </w:rPr>
        <w:t>02</w:t>
      </w:r>
      <w:r>
        <w:t xml:space="preserve">» </w:t>
      </w:r>
      <w:r>
        <w:rPr>
          <w:lang w:val="ru-RU"/>
        </w:rPr>
        <w:t>июня</w:t>
      </w:r>
      <w:r>
        <w:t xml:space="preserve"> 2026г. № </w:t>
      </w:r>
      <w:r>
        <w:rPr>
          <w:rFonts w:hint="default"/>
          <w:lang w:val="ru-RU"/>
        </w:rPr>
        <w:t>9</w:t>
      </w:r>
    </w:p>
    <w:p w14:paraId="5FB88271">
      <w:pPr>
        <w:autoSpaceDE w:val="0"/>
        <w:autoSpaceDN w:val="0"/>
        <w:adjustRightInd w:val="0"/>
        <w:ind w:left="11057"/>
        <w:jc w:val="both"/>
        <w:rPr>
          <w:rFonts w:eastAsiaTheme="minorHAnsi"/>
          <w:sz w:val="28"/>
          <w:szCs w:val="28"/>
          <w:lang w:eastAsia="en-US"/>
        </w:rPr>
      </w:pPr>
    </w:p>
    <w:p w14:paraId="447104B0">
      <w:pPr>
        <w:autoSpaceDE w:val="0"/>
        <w:autoSpaceDN w:val="0"/>
        <w:adjustRightInd w:val="0"/>
        <w:jc w:val="center"/>
        <w:rPr>
          <w:rFonts w:eastAsiaTheme="minorHAnsi"/>
          <w:sz w:val="28"/>
          <w:szCs w:val="28"/>
          <w:lang w:eastAsia="en-US"/>
        </w:rPr>
      </w:pPr>
      <w:bookmarkStart w:id="4" w:name="Par378"/>
      <w:bookmarkEnd w:id="4"/>
      <w:r>
        <w:rPr>
          <w:rFonts w:eastAsiaTheme="minorHAnsi"/>
          <w:sz w:val="28"/>
          <w:szCs w:val="28"/>
          <w:lang w:eastAsia="en-US"/>
        </w:rPr>
        <w:t>План (реестр) мер, направленных на минимизацию</w:t>
      </w:r>
    </w:p>
    <w:p w14:paraId="3ECDB366">
      <w:pPr>
        <w:autoSpaceDE w:val="0"/>
        <w:autoSpaceDN w:val="0"/>
        <w:adjustRightInd w:val="0"/>
        <w:jc w:val="center"/>
        <w:rPr>
          <w:rFonts w:eastAsiaTheme="minorHAnsi"/>
          <w:sz w:val="28"/>
          <w:szCs w:val="28"/>
          <w:lang w:eastAsia="en-US"/>
        </w:rPr>
      </w:pPr>
      <w:r>
        <w:rPr>
          <w:rFonts w:eastAsiaTheme="minorHAnsi"/>
          <w:sz w:val="28"/>
          <w:szCs w:val="28"/>
          <w:lang w:eastAsia="en-US"/>
        </w:rPr>
        <w:t>коррупционных рисков, возникающих при осуществлении закупок товаров, работ, услуг для муниципальных нужд</w:t>
      </w:r>
    </w:p>
    <w:p w14:paraId="74681343">
      <w:pPr>
        <w:autoSpaceDE w:val="0"/>
        <w:autoSpaceDN w:val="0"/>
        <w:adjustRightInd w:val="0"/>
        <w:jc w:val="both"/>
        <w:rPr>
          <w:rFonts w:eastAsiaTheme="minorHAnsi"/>
          <w:sz w:val="28"/>
          <w:szCs w:val="28"/>
          <w:lang w:eastAsia="en-US"/>
        </w:rPr>
      </w:pPr>
    </w:p>
    <w:tbl>
      <w:tblPr>
        <w:tblStyle w:val="4"/>
        <w:tblW w:w="15230" w:type="dxa"/>
        <w:tblInd w:w="0" w:type="dxa"/>
        <w:tblLayout w:type="fixed"/>
        <w:tblCellMar>
          <w:top w:w="102" w:type="dxa"/>
          <w:left w:w="62" w:type="dxa"/>
          <w:bottom w:w="102" w:type="dxa"/>
          <w:right w:w="62" w:type="dxa"/>
        </w:tblCellMar>
      </w:tblPr>
      <w:tblGrid>
        <w:gridCol w:w="624"/>
        <w:gridCol w:w="3691"/>
        <w:gridCol w:w="3260"/>
        <w:gridCol w:w="1984"/>
        <w:gridCol w:w="3119"/>
        <w:gridCol w:w="2552"/>
      </w:tblGrid>
      <w:tr w14:paraId="1E6B496B">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tcPr>
          <w:p w14:paraId="57B7EEEB">
            <w:pPr>
              <w:autoSpaceDE w:val="0"/>
              <w:autoSpaceDN w:val="0"/>
              <w:adjustRightInd w:val="0"/>
              <w:jc w:val="center"/>
              <w:rPr>
                <w:rFonts w:eastAsiaTheme="minorHAnsi"/>
                <w:sz w:val="28"/>
                <w:szCs w:val="28"/>
                <w:lang w:eastAsia="en-US"/>
              </w:rPr>
            </w:pPr>
            <w:r>
              <w:rPr>
                <w:rFonts w:eastAsiaTheme="minorHAnsi"/>
                <w:sz w:val="28"/>
                <w:szCs w:val="28"/>
                <w:lang w:val="ru-RU" w:eastAsia="en-US"/>
              </w:rPr>
              <w:t>№</w:t>
            </w:r>
            <w:r>
              <w:rPr>
                <w:rFonts w:eastAsiaTheme="minorHAnsi"/>
                <w:sz w:val="28"/>
                <w:szCs w:val="28"/>
                <w:lang w:eastAsia="en-US"/>
              </w:rPr>
              <w:t xml:space="preserve"> п/п</w:t>
            </w:r>
          </w:p>
        </w:tc>
        <w:tc>
          <w:tcPr>
            <w:tcW w:w="3691" w:type="dxa"/>
            <w:tcBorders>
              <w:top w:val="single" w:color="auto" w:sz="4" w:space="0"/>
              <w:left w:val="single" w:color="auto" w:sz="4" w:space="0"/>
              <w:bottom w:val="single" w:color="auto" w:sz="4" w:space="0"/>
              <w:right w:val="single" w:color="auto" w:sz="4" w:space="0"/>
            </w:tcBorders>
          </w:tcPr>
          <w:p w14:paraId="465597B2">
            <w:pPr>
              <w:autoSpaceDE w:val="0"/>
              <w:autoSpaceDN w:val="0"/>
              <w:adjustRightInd w:val="0"/>
              <w:jc w:val="center"/>
              <w:rPr>
                <w:rFonts w:eastAsiaTheme="minorHAnsi"/>
                <w:sz w:val="28"/>
                <w:szCs w:val="28"/>
                <w:lang w:eastAsia="en-US"/>
              </w:rPr>
            </w:pPr>
            <w:r>
              <w:rPr>
                <w:rFonts w:eastAsiaTheme="minorHAnsi"/>
                <w:sz w:val="28"/>
                <w:szCs w:val="28"/>
                <w:lang w:eastAsia="en-US"/>
              </w:rPr>
              <w:t>Наименование меры по минимизации коррупционных рисков</w:t>
            </w:r>
          </w:p>
        </w:tc>
        <w:tc>
          <w:tcPr>
            <w:tcW w:w="3260" w:type="dxa"/>
            <w:tcBorders>
              <w:top w:val="single" w:color="auto" w:sz="4" w:space="0"/>
              <w:left w:val="single" w:color="auto" w:sz="4" w:space="0"/>
              <w:bottom w:val="single" w:color="auto" w:sz="4" w:space="0"/>
              <w:right w:val="single" w:color="auto" w:sz="4" w:space="0"/>
            </w:tcBorders>
          </w:tcPr>
          <w:p w14:paraId="5CA957D6">
            <w:pPr>
              <w:autoSpaceDE w:val="0"/>
              <w:autoSpaceDN w:val="0"/>
              <w:adjustRightInd w:val="0"/>
              <w:jc w:val="center"/>
              <w:rPr>
                <w:rFonts w:eastAsiaTheme="minorHAnsi"/>
                <w:sz w:val="28"/>
                <w:szCs w:val="28"/>
                <w:lang w:eastAsia="en-US"/>
              </w:rPr>
            </w:pPr>
            <w:r>
              <w:rPr>
                <w:rFonts w:eastAsiaTheme="minorHAnsi"/>
                <w:sz w:val="28"/>
                <w:szCs w:val="28"/>
                <w:lang w:eastAsia="en-US"/>
              </w:rPr>
              <w:t>Краткое наименование минимизируемого коррупционного риска</w:t>
            </w:r>
          </w:p>
        </w:tc>
        <w:tc>
          <w:tcPr>
            <w:tcW w:w="1984" w:type="dxa"/>
            <w:tcBorders>
              <w:top w:val="single" w:color="auto" w:sz="4" w:space="0"/>
              <w:left w:val="single" w:color="auto" w:sz="4" w:space="0"/>
              <w:bottom w:val="single" w:color="auto" w:sz="4" w:space="0"/>
              <w:right w:val="single" w:color="auto" w:sz="4" w:space="0"/>
            </w:tcBorders>
          </w:tcPr>
          <w:p w14:paraId="679B9437">
            <w:pPr>
              <w:autoSpaceDE w:val="0"/>
              <w:autoSpaceDN w:val="0"/>
              <w:adjustRightInd w:val="0"/>
              <w:jc w:val="center"/>
              <w:rPr>
                <w:rFonts w:eastAsiaTheme="minorHAnsi"/>
                <w:sz w:val="28"/>
                <w:szCs w:val="28"/>
                <w:lang w:eastAsia="en-US"/>
              </w:rPr>
            </w:pPr>
            <w:r>
              <w:rPr>
                <w:rFonts w:eastAsiaTheme="minorHAnsi"/>
                <w:sz w:val="28"/>
                <w:szCs w:val="28"/>
                <w:lang w:eastAsia="en-US"/>
              </w:rPr>
              <w:t>Срок (периодичность) реализации</w:t>
            </w:r>
          </w:p>
        </w:tc>
        <w:tc>
          <w:tcPr>
            <w:tcW w:w="3119" w:type="dxa"/>
            <w:tcBorders>
              <w:top w:val="single" w:color="auto" w:sz="4" w:space="0"/>
              <w:left w:val="single" w:color="auto" w:sz="4" w:space="0"/>
              <w:bottom w:val="single" w:color="auto" w:sz="4" w:space="0"/>
              <w:right w:val="single" w:color="auto" w:sz="4" w:space="0"/>
            </w:tcBorders>
          </w:tcPr>
          <w:p w14:paraId="5691FC43">
            <w:pPr>
              <w:autoSpaceDE w:val="0"/>
              <w:autoSpaceDN w:val="0"/>
              <w:adjustRightInd w:val="0"/>
              <w:jc w:val="center"/>
              <w:rPr>
                <w:rFonts w:eastAsiaTheme="minorHAnsi"/>
                <w:sz w:val="28"/>
                <w:szCs w:val="28"/>
                <w:lang w:eastAsia="en-US"/>
              </w:rPr>
            </w:pPr>
            <w:r>
              <w:rPr>
                <w:rFonts w:eastAsiaTheme="minorHAnsi"/>
                <w:sz w:val="28"/>
                <w:szCs w:val="28"/>
                <w:lang w:eastAsia="en-US"/>
              </w:rPr>
              <w:t>Ответственный за реализацию служащий (работник)</w:t>
            </w:r>
          </w:p>
        </w:tc>
        <w:tc>
          <w:tcPr>
            <w:tcW w:w="2552" w:type="dxa"/>
            <w:tcBorders>
              <w:top w:val="single" w:color="auto" w:sz="4" w:space="0"/>
              <w:left w:val="single" w:color="auto" w:sz="4" w:space="0"/>
              <w:bottom w:val="single" w:color="auto" w:sz="4" w:space="0"/>
              <w:right w:val="single" w:color="auto" w:sz="4" w:space="0"/>
            </w:tcBorders>
          </w:tcPr>
          <w:p w14:paraId="398780F7">
            <w:pPr>
              <w:autoSpaceDE w:val="0"/>
              <w:autoSpaceDN w:val="0"/>
              <w:adjustRightInd w:val="0"/>
              <w:jc w:val="center"/>
              <w:rPr>
                <w:rFonts w:eastAsiaTheme="minorHAnsi"/>
                <w:sz w:val="28"/>
                <w:szCs w:val="28"/>
                <w:lang w:eastAsia="en-US"/>
              </w:rPr>
            </w:pPr>
            <w:r>
              <w:rPr>
                <w:rFonts w:eastAsiaTheme="minorHAnsi"/>
                <w:sz w:val="28"/>
                <w:szCs w:val="28"/>
                <w:lang w:eastAsia="en-US"/>
              </w:rPr>
              <w:t>Планируемый результат</w:t>
            </w:r>
          </w:p>
        </w:tc>
      </w:tr>
      <w:tr w14:paraId="46263411">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vAlign w:val="center"/>
          </w:tcPr>
          <w:p w14:paraId="14EC3E81">
            <w:pPr>
              <w:spacing w:before="120" w:after="120"/>
              <w:ind w:right="119"/>
              <w:jc w:val="center"/>
            </w:pPr>
            <w:r>
              <w:t>1</w:t>
            </w:r>
          </w:p>
        </w:tc>
        <w:tc>
          <w:tcPr>
            <w:tcW w:w="3691" w:type="dxa"/>
            <w:tcBorders>
              <w:top w:val="single" w:color="auto" w:sz="4" w:space="0"/>
              <w:left w:val="single" w:color="auto" w:sz="4" w:space="0"/>
              <w:bottom w:val="single" w:color="auto" w:sz="4" w:space="0"/>
              <w:right w:val="single" w:color="auto" w:sz="4" w:space="0"/>
            </w:tcBorders>
            <w:vAlign w:val="center"/>
          </w:tcPr>
          <w:p w14:paraId="462689EB">
            <w:pPr>
              <w:ind w:right="120"/>
              <w:contextualSpacing/>
              <w:jc w:val="center"/>
            </w:pPr>
            <w:r>
              <w:rPr>
                <w:rFonts w:eastAsia="Arial Unicode MS"/>
                <w:color w:val="000000"/>
                <w:lang w:bidi="ru-RU"/>
              </w:rPr>
              <w:t xml:space="preserve">проведение мониторинга цен на товары, работы и услуги в целях недопущения завышения </w:t>
            </w:r>
            <w:r>
              <w:t>начальных (максимальных) цен контрактов при осуществлении закупки</w:t>
            </w:r>
          </w:p>
        </w:tc>
        <w:tc>
          <w:tcPr>
            <w:tcW w:w="3260" w:type="dxa"/>
            <w:tcBorders>
              <w:top w:val="single" w:color="auto" w:sz="4" w:space="0"/>
              <w:left w:val="single" w:color="auto" w:sz="4" w:space="0"/>
              <w:bottom w:val="single" w:color="auto" w:sz="4" w:space="0"/>
              <w:right w:val="single" w:color="auto" w:sz="4" w:space="0"/>
            </w:tcBorders>
            <w:vAlign w:val="center"/>
          </w:tcPr>
          <w:p w14:paraId="4F85D8E8">
            <w:pPr>
              <w:ind w:right="120"/>
              <w:contextualSpacing/>
              <w:jc w:val="center"/>
              <w:rPr>
                <w:sz w:val="28"/>
                <w:szCs w:val="28"/>
              </w:rPr>
            </w:pPr>
            <w:r>
              <w:rPr>
                <w:rFonts w:eastAsia="Arial Unicode MS"/>
                <w:color w:val="000000"/>
                <w:lang w:bidi="ru-RU"/>
              </w:rPr>
              <w:t>Необоснованное завышение обоснование начальных (максимальных) цен контрактов</w:t>
            </w:r>
          </w:p>
        </w:tc>
        <w:tc>
          <w:tcPr>
            <w:tcW w:w="1984" w:type="dxa"/>
            <w:tcBorders>
              <w:top w:val="single" w:color="auto" w:sz="4" w:space="0"/>
              <w:left w:val="single" w:color="auto" w:sz="4" w:space="0"/>
              <w:bottom w:val="single" w:color="auto" w:sz="4" w:space="0"/>
              <w:right w:val="single" w:color="auto" w:sz="4" w:space="0"/>
            </w:tcBorders>
            <w:vAlign w:val="center"/>
          </w:tcPr>
          <w:p w14:paraId="5CDF22A2">
            <w:pPr>
              <w:ind w:right="120"/>
              <w:contextualSpacing/>
              <w:jc w:val="center"/>
              <w:rPr>
                <w:rFonts w:eastAsia="Arial Unicode MS"/>
                <w:color w:val="000000"/>
                <w:lang w:bidi="ru-RU"/>
              </w:rPr>
            </w:pPr>
            <w:r>
              <w:rPr>
                <w:rFonts w:eastAsia="Arial Unicode MS"/>
                <w:color w:val="000000"/>
                <w:lang w:bidi="ru-RU"/>
              </w:rPr>
              <w:t>постоянно</w:t>
            </w:r>
          </w:p>
        </w:tc>
        <w:tc>
          <w:tcPr>
            <w:tcW w:w="3119" w:type="dxa"/>
            <w:tcBorders>
              <w:top w:val="single" w:color="auto" w:sz="4" w:space="0"/>
              <w:left w:val="single" w:color="auto" w:sz="4" w:space="0"/>
              <w:bottom w:val="single" w:color="auto" w:sz="4" w:space="0"/>
              <w:right w:val="single" w:color="auto" w:sz="4" w:space="0"/>
            </w:tcBorders>
            <w:vAlign w:val="center"/>
          </w:tcPr>
          <w:p w14:paraId="77407F55">
            <w:pPr>
              <w:ind w:right="120"/>
              <w:contextualSpacing/>
              <w:jc w:val="center"/>
              <w:rPr>
                <w:sz w:val="28"/>
                <w:szCs w:val="28"/>
              </w:rPr>
            </w:pPr>
            <w:r>
              <w:t>Инициаторы закупок, специалисты, ответственные за осуществление закупок</w:t>
            </w:r>
          </w:p>
        </w:tc>
        <w:tc>
          <w:tcPr>
            <w:tcW w:w="2552" w:type="dxa"/>
            <w:tcBorders>
              <w:top w:val="single" w:color="auto" w:sz="4" w:space="0"/>
              <w:left w:val="single" w:color="auto" w:sz="4" w:space="0"/>
              <w:bottom w:val="single" w:color="auto" w:sz="4" w:space="0"/>
              <w:right w:val="single" w:color="auto" w:sz="4" w:space="0"/>
            </w:tcBorders>
            <w:vAlign w:val="center"/>
          </w:tcPr>
          <w:p w14:paraId="0061E1F5">
            <w:pPr>
              <w:ind w:right="120"/>
              <w:contextualSpacing/>
              <w:jc w:val="center"/>
              <w:rPr>
                <w:sz w:val="28"/>
                <w:szCs w:val="28"/>
              </w:rPr>
            </w:pPr>
            <w:r>
              <w:t>минимизация коррупционных проявлений при осуществлении закупки</w:t>
            </w:r>
          </w:p>
        </w:tc>
      </w:tr>
      <w:tr w14:paraId="4F028982">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vAlign w:val="center"/>
          </w:tcPr>
          <w:p w14:paraId="42A855A1">
            <w:pPr>
              <w:spacing w:before="120" w:after="120"/>
              <w:ind w:right="119"/>
              <w:jc w:val="center"/>
            </w:pPr>
            <w:r>
              <w:t>2</w:t>
            </w:r>
          </w:p>
        </w:tc>
        <w:tc>
          <w:tcPr>
            <w:tcW w:w="3691" w:type="dxa"/>
            <w:tcBorders>
              <w:top w:val="single" w:color="auto" w:sz="4" w:space="0"/>
              <w:left w:val="single" w:color="auto" w:sz="4" w:space="0"/>
              <w:bottom w:val="single" w:color="auto" w:sz="4" w:space="0"/>
              <w:right w:val="single" w:color="auto" w:sz="4" w:space="0"/>
            </w:tcBorders>
            <w:vAlign w:val="center"/>
          </w:tcPr>
          <w:p w14:paraId="4EE9E777">
            <w:pPr>
              <w:spacing w:before="120" w:after="120"/>
              <w:ind w:right="142"/>
              <w:contextualSpacing/>
              <w:jc w:val="center"/>
            </w:pPr>
            <w:r>
              <w:t>проведение мониторинга на предмет выявления неоднократных закупок однородных товаров, работ, услуг.</w:t>
            </w:r>
          </w:p>
        </w:tc>
        <w:tc>
          <w:tcPr>
            <w:tcW w:w="3260" w:type="dxa"/>
            <w:tcBorders>
              <w:top w:val="single" w:color="auto" w:sz="4" w:space="0"/>
              <w:left w:val="single" w:color="auto" w:sz="4" w:space="0"/>
              <w:bottom w:val="single" w:color="auto" w:sz="4" w:space="0"/>
              <w:right w:val="single" w:color="auto" w:sz="4" w:space="0"/>
            </w:tcBorders>
            <w:vAlign w:val="center"/>
          </w:tcPr>
          <w:p w14:paraId="7E61A23C">
            <w:pPr>
              <w:ind w:right="120"/>
              <w:contextualSpacing/>
              <w:jc w:val="center"/>
            </w:pPr>
            <w:r>
              <w:rPr>
                <w:bCs/>
              </w:rPr>
              <w:t>искусственное дробление закупки на несколько отдельных с целью исключения конкурентного способа определения поставщика</w:t>
            </w:r>
          </w:p>
        </w:tc>
        <w:tc>
          <w:tcPr>
            <w:tcW w:w="1984" w:type="dxa"/>
            <w:tcBorders>
              <w:top w:val="single" w:color="auto" w:sz="4" w:space="0"/>
              <w:left w:val="single" w:color="auto" w:sz="4" w:space="0"/>
              <w:bottom w:val="single" w:color="auto" w:sz="4" w:space="0"/>
              <w:right w:val="single" w:color="auto" w:sz="4" w:space="0"/>
            </w:tcBorders>
            <w:vAlign w:val="center"/>
          </w:tcPr>
          <w:p w14:paraId="0299C81E">
            <w:pPr>
              <w:ind w:right="120"/>
              <w:contextualSpacing/>
              <w:jc w:val="center"/>
              <w:rPr>
                <w:rFonts w:eastAsia="Arial Unicode MS"/>
                <w:color w:val="000000"/>
                <w:lang w:bidi="ru-RU"/>
              </w:rPr>
            </w:pPr>
            <w:r>
              <w:rPr>
                <w:rFonts w:eastAsia="Arial Unicode MS"/>
                <w:color w:val="000000"/>
                <w:lang w:bidi="ru-RU"/>
              </w:rPr>
              <w:t>постоянно</w:t>
            </w:r>
          </w:p>
        </w:tc>
        <w:tc>
          <w:tcPr>
            <w:tcW w:w="3119" w:type="dxa"/>
            <w:tcBorders>
              <w:top w:val="single" w:color="auto" w:sz="4" w:space="0"/>
              <w:left w:val="single" w:color="auto" w:sz="4" w:space="0"/>
              <w:bottom w:val="single" w:color="auto" w:sz="4" w:space="0"/>
              <w:right w:val="single" w:color="auto" w:sz="4" w:space="0"/>
            </w:tcBorders>
            <w:vAlign w:val="center"/>
          </w:tcPr>
          <w:p w14:paraId="609EE52A">
            <w:pPr>
              <w:ind w:right="120"/>
              <w:contextualSpacing/>
              <w:jc w:val="center"/>
            </w:pPr>
            <w:r>
              <w:t>Инициаторы закупок, специалисты, ответственные за осуществление закупок заказчика (уполномоченного учреждения)</w:t>
            </w:r>
          </w:p>
        </w:tc>
        <w:tc>
          <w:tcPr>
            <w:tcW w:w="2552" w:type="dxa"/>
            <w:tcBorders>
              <w:top w:val="single" w:color="auto" w:sz="4" w:space="0"/>
              <w:left w:val="single" w:color="auto" w:sz="4" w:space="0"/>
              <w:bottom w:val="single" w:color="auto" w:sz="4" w:space="0"/>
              <w:right w:val="single" w:color="auto" w:sz="4" w:space="0"/>
            </w:tcBorders>
            <w:vAlign w:val="center"/>
          </w:tcPr>
          <w:p w14:paraId="4ACA53ED">
            <w:pPr>
              <w:ind w:right="120"/>
              <w:contextualSpacing/>
              <w:jc w:val="center"/>
            </w:pPr>
            <w:r>
              <w:t>минимизация коррупционных проявлений при осуществлении закупки</w:t>
            </w:r>
          </w:p>
        </w:tc>
      </w:tr>
      <w:tr w14:paraId="26F776DD">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vAlign w:val="center"/>
          </w:tcPr>
          <w:p w14:paraId="2F6214F9">
            <w:pPr>
              <w:spacing w:before="120" w:after="120"/>
              <w:ind w:right="119"/>
              <w:jc w:val="center"/>
            </w:pPr>
            <w:r>
              <w:t>3</w:t>
            </w:r>
          </w:p>
        </w:tc>
        <w:tc>
          <w:tcPr>
            <w:tcW w:w="3691" w:type="dxa"/>
            <w:tcBorders>
              <w:top w:val="single" w:color="auto" w:sz="4" w:space="0"/>
              <w:left w:val="single" w:color="auto" w:sz="4" w:space="0"/>
              <w:bottom w:val="single" w:color="auto" w:sz="4" w:space="0"/>
              <w:right w:val="single" w:color="auto" w:sz="4" w:space="0"/>
            </w:tcBorders>
            <w:vAlign w:val="center"/>
          </w:tcPr>
          <w:p w14:paraId="60CB58A4">
            <w:pPr>
              <w:autoSpaceDE w:val="0"/>
              <w:autoSpaceDN w:val="0"/>
              <w:adjustRightInd w:val="0"/>
              <w:jc w:val="center"/>
            </w:pPr>
            <w:r>
              <w:t>проверка наличия возможной аффилированности между участником закупки и должностным лицом заказчика.</w:t>
            </w:r>
          </w:p>
        </w:tc>
        <w:tc>
          <w:tcPr>
            <w:tcW w:w="3260" w:type="dxa"/>
            <w:tcBorders>
              <w:top w:val="single" w:color="auto" w:sz="4" w:space="0"/>
              <w:left w:val="single" w:color="auto" w:sz="4" w:space="0"/>
              <w:bottom w:val="single" w:color="auto" w:sz="4" w:space="0"/>
              <w:right w:val="single" w:color="auto" w:sz="4" w:space="0"/>
            </w:tcBorders>
            <w:vAlign w:val="center"/>
          </w:tcPr>
          <w:p w14:paraId="741470A7">
            <w:pPr>
              <w:widowControl w:val="0"/>
              <w:spacing w:before="120" w:after="120"/>
              <w:ind w:right="142"/>
              <w:contextualSpacing/>
              <w:jc w:val="center"/>
              <w:rPr>
                <w:bCs/>
              </w:rPr>
            </w:pPr>
            <w:r>
              <w:t>предоставление необоснованных преимуществ участникам закупки,</w:t>
            </w:r>
            <w:r>
              <w:rPr>
                <w:bCs/>
              </w:rPr>
              <w:t xml:space="preserve"> необоснованное расширение (сужение) круга удовлетворяющей потребности продукции;</w:t>
            </w:r>
          </w:p>
          <w:p w14:paraId="4F32B825">
            <w:pPr>
              <w:widowControl w:val="0"/>
              <w:spacing w:before="120" w:after="120"/>
              <w:ind w:right="142"/>
              <w:contextualSpacing/>
              <w:jc w:val="center"/>
              <w:rPr>
                <w:bCs/>
              </w:rPr>
            </w:pPr>
            <w:r>
              <w:rPr>
                <w:bCs/>
              </w:rPr>
              <w:t>Необоснованное расширение (ограничение), упрощение (усложнение) необходимых условий контракта и оговорок относительно их исполнения,</w:t>
            </w:r>
          </w:p>
          <w:p w14:paraId="67CF387C">
            <w:pPr>
              <w:ind w:right="120"/>
              <w:contextualSpacing/>
              <w:jc w:val="center"/>
            </w:pPr>
            <w:r>
              <w:rPr>
                <w:bCs/>
              </w:rPr>
              <w:t>формирование наименования объекта закупки, не соответствующего описанию объекта закупки, чтобы ограничить конкуренцию и привлечь конкретного поставщика (подрядчика, исполнителя), аффилированного с заказчиком или выплачивающим ему незаконное вознаграждение</w:t>
            </w:r>
          </w:p>
        </w:tc>
        <w:tc>
          <w:tcPr>
            <w:tcW w:w="1984" w:type="dxa"/>
            <w:tcBorders>
              <w:top w:val="single" w:color="auto" w:sz="4" w:space="0"/>
              <w:left w:val="single" w:color="auto" w:sz="4" w:space="0"/>
              <w:bottom w:val="single" w:color="auto" w:sz="4" w:space="0"/>
              <w:right w:val="single" w:color="auto" w:sz="4" w:space="0"/>
            </w:tcBorders>
            <w:vAlign w:val="center"/>
          </w:tcPr>
          <w:p w14:paraId="13B6CD1C">
            <w:pPr>
              <w:ind w:right="120"/>
              <w:contextualSpacing/>
              <w:jc w:val="center"/>
              <w:rPr>
                <w:rFonts w:eastAsia="Arial Unicode MS"/>
                <w:b/>
                <w:color w:val="000000"/>
                <w:lang w:bidi="ru-RU"/>
              </w:rPr>
            </w:pPr>
            <w:r>
              <w:rPr>
                <w:rFonts w:eastAsia="Arial Unicode MS"/>
                <w:color w:val="000000"/>
                <w:lang w:bidi="ru-RU"/>
              </w:rPr>
              <w:t>постоянно</w:t>
            </w:r>
          </w:p>
        </w:tc>
        <w:tc>
          <w:tcPr>
            <w:tcW w:w="3119" w:type="dxa"/>
            <w:tcBorders>
              <w:top w:val="single" w:color="auto" w:sz="4" w:space="0"/>
              <w:left w:val="single" w:color="auto" w:sz="4" w:space="0"/>
              <w:bottom w:val="single" w:color="auto" w:sz="4" w:space="0"/>
              <w:right w:val="single" w:color="auto" w:sz="4" w:space="0"/>
            </w:tcBorders>
            <w:vAlign w:val="center"/>
          </w:tcPr>
          <w:p w14:paraId="66E75967">
            <w:pPr>
              <w:ind w:right="120"/>
              <w:contextualSpacing/>
              <w:jc w:val="center"/>
            </w:pPr>
            <w:r>
              <w:t>Инициаторы закупок, специалисты, ответственные за формирование задания на поставку товаров, выполнение работ, оказание услуг; руководитель и члены контрактной службы заказчика (уполномоченного учреждения)</w:t>
            </w:r>
          </w:p>
        </w:tc>
        <w:tc>
          <w:tcPr>
            <w:tcW w:w="2552" w:type="dxa"/>
            <w:tcBorders>
              <w:top w:val="single" w:color="auto" w:sz="4" w:space="0"/>
              <w:left w:val="single" w:color="auto" w:sz="4" w:space="0"/>
              <w:bottom w:val="single" w:color="auto" w:sz="4" w:space="0"/>
              <w:right w:val="single" w:color="auto" w:sz="4" w:space="0"/>
            </w:tcBorders>
            <w:vAlign w:val="center"/>
          </w:tcPr>
          <w:p w14:paraId="545DA107">
            <w:pPr>
              <w:ind w:right="120"/>
              <w:contextualSpacing/>
              <w:jc w:val="center"/>
            </w:pPr>
            <w:r>
              <w:t>минимизация коррупционных проявлений при осуществлении закупки, исключение осуществления закупки с наличием аффилированности между участником закупки и должностным лицом заказчика (уполномоченного учреждения)</w:t>
            </w:r>
          </w:p>
        </w:tc>
      </w:tr>
      <w:tr w14:paraId="097320D3">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vAlign w:val="center"/>
          </w:tcPr>
          <w:p w14:paraId="7E97D6A5">
            <w:pPr>
              <w:spacing w:before="120" w:after="120"/>
              <w:ind w:right="119"/>
              <w:jc w:val="center"/>
            </w:pPr>
            <w:r>
              <w:t>4</w:t>
            </w:r>
          </w:p>
        </w:tc>
        <w:tc>
          <w:tcPr>
            <w:tcW w:w="3691" w:type="dxa"/>
            <w:tcBorders>
              <w:top w:val="single" w:color="auto" w:sz="4" w:space="0"/>
              <w:left w:val="single" w:color="auto" w:sz="4" w:space="0"/>
              <w:bottom w:val="single" w:color="auto" w:sz="4" w:space="0"/>
              <w:right w:val="single" w:color="auto" w:sz="4" w:space="0"/>
            </w:tcBorders>
            <w:vAlign w:val="center"/>
          </w:tcPr>
          <w:p w14:paraId="22127A65">
            <w:pPr>
              <w:autoSpaceDE w:val="0"/>
              <w:autoSpaceDN w:val="0"/>
              <w:adjustRightInd w:val="0"/>
              <w:jc w:val="center"/>
            </w:pPr>
            <w:r>
              <w:t>осуществление взаимодействия с общественными объединениями и (или) объединениями юридических лиц, осуществляющими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tc>
        <w:tc>
          <w:tcPr>
            <w:tcW w:w="3260" w:type="dxa"/>
            <w:tcBorders>
              <w:top w:val="single" w:color="auto" w:sz="4" w:space="0"/>
              <w:left w:val="single" w:color="auto" w:sz="4" w:space="0"/>
              <w:bottom w:val="single" w:color="auto" w:sz="4" w:space="0"/>
              <w:right w:val="single" w:color="auto" w:sz="4" w:space="0"/>
            </w:tcBorders>
            <w:vAlign w:val="center"/>
          </w:tcPr>
          <w:p w14:paraId="39EE314F">
            <w:pPr>
              <w:ind w:right="120"/>
              <w:contextualSpacing/>
              <w:jc w:val="center"/>
            </w:pPr>
            <w:r>
              <w:t>публикация недостоверной, искаженной, нечитаемой информации о закупке в ЕИС</w:t>
            </w:r>
          </w:p>
        </w:tc>
        <w:tc>
          <w:tcPr>
            <w:tcW w:w="1984" w:type="dxa"/>
            <w:tcBorders>
              <w:top w:val="single" w:color="auto" w:sz="4" w:space="0"/>
              <w:left w:val="single" w:color="auto" w:sz="4" w:space="0"/>
              <w:bottom w:val="single" w:color="auto" w:sz="4" w:space="0"/>
              <w:right w:val="single" w:color="auto" w:sz="4" w:space="0"/>
            </w:tcBorders>
            <w:vAlign w:val="center"/>
          </w:tcPr>
          <w:p w14:paraId="01E67B85">
            <w:pPr>
              <w:ind w:right="120"/>
              <w:contextualSpacing/>
              <w:jc w:val="center"/>
              <w:rPr>
                <w:sz w:val="28"/>
                <w:szCs w:val="28"/>
              </w:rPr>
            </w:pPr>
            <w:r>
              <w:rPr>
                <w:rFonts w:eastAsia="Arial Unicode MS"/>
                <w:color w:val="000000"/>
                <w:lang w:bidi="ru-RU"/>
              </w:rPr>
              <w:t>постоянно</w:t>
            </w:r>
          </w:p>
        </w:tc>
        <w:tc>
          <w:tcPr>
            <w:tcW w:w="3119" w:type="dxa"/>
            <w:tcBorders>
              <w:top w:val="single" w:color="auto" w:sz="4" w:space="0"/>
              <w:left w:val="single" w:color="auto" w:sz="4" w:space="0"/>
              <w:bottom w:val="single" w:color="auto" w:sz="4" w:space="0"/>
              <w:right w:val="single" w:color="auto" w:sz="4" w:space="0"/>
            </w:tcBorders>
            <w:vAlign w:val="center"/>
          </w:tcPr>
          <w:p w14:paraId="021D4C4D">
            <w:pPr>
              <w:ind w:right="120"/>
              <w:contextualSpacing/>
              <w:jc w:val="center"/>
              <w:rPr>
                <w:sz w:val="28"/>
                <w:szCs w:val="28"/>
              </w:rPr>
            </w:pPr>
            <w:r>
              <w:t>специалисты, ответственные за осуществление закупок заказчика (уполномоченного учреждения)</w:t>
            </w:r>
          </w:p>
        </w:tc>
        <w:tc>
          <w:tcPr>
            <w:tcW w:w="2552" w:type="dxa"/>
            <w:tcBorders>
              <w:top w:val="single" w:color="auto" w:sz="4" w:space="0"/>
              <w:left w:val="single" w:color="auto" w:sz="4" w:space="0"/>
              <w:bottom w:val="single" w:color="auto" w:sz="4" w:space="0"/>
              <w:right w:val="single" w:color="auto" w:sz="4" w:space="0"/>
            </w:tcBorders>
            <w:vAlign w:val="center"/>
          </w:tcPr>
          <w:p w14:paraId="3904D52E">
            <w:pPr>
              <w:ind w:right="120"/>
              <w:contextualSpacing/>
              <w:jc w:val="center"/>
              <w:rPr>
                <w:sz w:val="28"/>
                <w:szCs w:val="28"/>
              </w:rPr>
            </w:pPr>
            <w:r>
              <w:t>минимизация коррупционных проявлений при осуществлении закупки, открытость и прозрачность при осуществлении закупки</w:t>
            </w:r>
          </w:p>
        </w:tc>
      </w:tr>
      <w:tr w14:paraId="23A817E1">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vAlign w:val="center"/>
          </w:tcPr>
          <w:p w14:paraId="20BEE5B1">
            <w:pPr>
              <w:spacing w:before="120" w:after="120"/>
              <w:ind w:right="119"/>
              <w:jc w:val="center"/>
            </w:pPr>
            <w:r>
              <w:t>5</w:t>
            </w:r>
          </w:p>
        </w:tc>
        <w:tc>
          <w:tcPr>
            <w:tcW w:w="3691" w:type="dxa"/>
            <w:tcBorders>
              <w:top w:val="single" w:color="auto" w:sz="4" w:space="0"/>
              <w:left w:val="single" w:color="auto" w:sz="4" w:space="0"/>
              <w:bottom w:val="single" w:color="auto" w:sz="4" w:space="0"/>
              <w:right w:val="single" w:color="auto" w:sz="4" w:space="0"/>
            </w:tcBorders>
            <w:vAlign w:val="center"/>
          </w:tcPr>
          <w:p w14:paraId="567E8321">
            <w:pPr>
              <w:autoSpaceDE w:val="0"/>
              <w:autoSpaceDN w:val="0"/>
              <w:adjustRightInd w:val="0"/>
              <w:jc w:val="center"/>
            </w:pPr>
            <w:r>
              <w:t>Осуществление взаимодействия с общественными объединениями и (или) объединениями юридических лиц, осуществляющими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tc>
        <w:tc>
          <w:tcPr>
            <w:tcW w:w="3260" w:type="dxa"/>
            <w:tcBorders>
              <w:top w:val="single" w:color="auto" w:sz="4" w:space="0"/>
              <w:left w:val="single" w:color="auto" w:sz="4" w:space="0"/>
              <w:bottom w:val="single" w:color="auto" w:sz="4" w:space="0"/>
              <w:right w:val="single" w:color="auto" w:sz="4" w:space="0"/>
            </w:tcBorders>
            <w:vAlign w:val="center"/>
          </w:tcPr>
          <w:p w14:paraId="4E795BEF">
            <w:pPr>
              <w:ind w:right="120"/>
              <w:contextualSpacing/>
              <w:jc w:val="center"/>
            </w:pPr>
            <w:r>
              <w:t>Публикация в ЕИС недостоверной информации о закупке</w:t>
            </w:r>
          </w:p>
        </w:tc>
        <w:tc>
          <w:tcPr>
            <w:tcW w:w="1984" w:type="dxa"/>
            <w:tcBorders>
              <w:top w:val="single" w:color="auto" w:sz="4" w:space="0"/>
              <w:left w:val="single" w:color="auto" w:sz="4" w:space="0"/>
              <w:bottom w:val="single" w:color="auto" w:sz="4" w:space="0"/>
              <w:right w:val="single" w:color="auto" w:sz="4" w:space="0"/>
            </w:tcBorders>
            <w:vAlign w:val="center"/>
          </w:tcPr>
          <w:p w14:paraId="20C8BC96">
            <w:pPr>
              <w:ind w:right="120"/>
              <w:contextualSpacing/>
              <w:jc w:val="center"/>
              <w:rPr>
                <w:rFonts w:eastAsia="Arial Unicode MS"/>
                <w:color w:val="000000"/>
                <w:lang w:bidi="ru-RU"/>
              </w:rPr>
            </w:pPr>
            <w:r>
              <w:rPr>
                <w:rFonts w:eastAsia="Arial Unicode MS"/>
                <w:color w:val="000000"/>
                <w:lang w:bidi="ru-RU"/>
              </w:rPr>
              <w:t>постоянно</w:t>
            </w:r>
          </w:p>
        </w:tc>
        <w:tc>
          <w:tcPr>
            <w:tcW w:w="3119" w:type="dxa"/>
            <w:tcBorders>
              <w:top w:val="single" w:color="auto" w:sz="4" w:space="0"/>
              <w:left w:val="single" w:color="auto" w:sz="4" w:space="0"/>
              <w:bottom w:val="single" w:color="auto" w:sz="4" w:space="0"/>
              <w:right w:val="single" w:color="auto" w:sz="4" w:space="0"/>
            </w:tcBorders>
            <w:vAlign w:val="center"/>
          </w:tcPr>
          <w:p w14:paraId="4FF79B63">
            <w:pPr>
              <w:ind w:right="120"/>
              <w:contextualSpacing/>
              <w:jc w:val="center"/>
              <w:rPr>
                <w:sz w:val="28"/>
                <w:szCs w:val="28"/>
              </w:rPr>
            </w:pPr>
            <w:r>
              <w:t>специалисты, ответственные за осуществление закупок заказчика (уполномоченного учреждения)</w:t>
            </w:r>
          </w:p>
        </w:tc>
        <w:tc>
          <w:tcPr>
            <w:tcW w:w="2552" w:type="dxa"/>
            <w:tcBorders>
              <w:top w:val="single" w:color="auto" w:sz="4" w:space="0"/>
              <w:left w:val="single" w:color="auto" w:sz="4" w:space="0"/>
              <w:bottom w:val="single" w:color="auto" w:sz="4" w:space="0"/>
              <w:right w:val="single" w:color="auto" w:sz="4" w:space="0"/>
            </w:tcBorders>
            <w:vAlign w:val="center"/>
          </w:tcPr>
          <w:p w14:paraId="6910F716">
            <w:pPr>
              <w:ind w:right="120"/>
              <w:contextualSpacing/>
              <w:jc w:val="center"/>
            </w:pPr>
            <w:r>
              <w:t xml:space="preserve">минимизация коррупционных проявлений при осуществлении закупки, </w:t>
            </w:r>
          </w:p>
          <w:p w14:paraId="4AE3E3D4">
            <w:pPr>
              <w:ind w:right="120"/>
              <w:contextualSpacing/>
              <w:jc w:val="center"/>
            </w:pPr>
            <w:r>
              <w:t>публикация в ЕИС достоверной информации о закупке</w:t>
            </w:r>
          </w:p>
        </w:tc>
      </w:tr>
      <w:tr w14:paraId="534F1E2E">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vAlign w:val="center"/>
          </w:tcPr>
          <w:p w14:paraId="02A8E0BE">
            <w:pPr>
              <w:spacing w:before="120" w:after="120"/>
              <w:ind w:right="119"/>
              <w:jc w:val="center"/>
            </w:pPr>
            <w:r>
              <w:t>6</w:t>
            </w:r>
          </w:p>
        </w:tc>
        <w:tc>
          <w:tcPr>
            <w:tcW w:w="3691" w:type="dxa"/>
            <w:tcBorders>
              <w:top w:val="single" w:color="auto" w:sz="4" w:space="0"/>
              <w:left w:val="single" w:color="auto" w:sz="4" w:space="0"/>
              <w:bottom w:val="single" w:color="auto" w:sz="4" w:space="0"/>
              <w:right w:val="single" w:color="auto" w:sz="4" w:space="0"/>
            </w:tcBorders>
            <w:vAlign w:val="center"/>
          </w:tcPr>
          <w:p w14:paraId="23C28FDF">
            <w:pPr>
              <w:autoSpaceDE w:val="0"/>
              <w:autoSpaceDN w:val="0"/>
              <w:adjustRightInd w:val="0"/>
              <w:jc w:val="center"/>
            </w:pPr>
            <w:r>
              <w:t>Проведение внутреннего ведомственного контроля Заказчиком (уполномоченным учреждением)</w:t>
            </w:r>
          </w:p>
        </w:tc>
        <w:tc>
          <w:tcPr>
            <w:tcW w:w="3260" w:type="dxa"/>
            <w:tcBorders>
              <w:top w:val="single" w:color="auto" w:sz="4" w:space="0"/>
              <w:left w:val="single" w:color="auto" w:sz="4" w:space="0"/>
              <w:bottom w:val="single" w:color="auto" w:sz="4" w:space="0"/>
              <w:right w:val="single" w:color="auto" w:sz="4" w:space="0"/>
            </w:tcBorders>
            <w:vAlign w:val="center"/>
          </w:tcPr>
          <w:p w14:paraId="7A16365A">
            <w:pPr>
              <w:ind w:right="120"/>
              <w:contextualSpacing/>
              <w:jc w:val="center"/>
              <w:rPr>
                <w:b/>
              </w:rPr>
            </w:pPr>
            <w:r>
              <w:t>Необоснованное завышение начальной (максимальной) цены контракта, подготовка достоверной и полной документации о проведении закупки, публикация недостоверной информации о закупке в ЕИС, установление необоснованных преимуществ для отдельных лиц при осуществлении закупок товаров, работ, услуг, проведение недопустимых переговоров с участниками закупки</w:t>
            </w:r>
          </w:p>
        </w:tc>
        <w:tc>
          <w:tcPr>
            <w:tcW w:w="1984" w:type="dxa"/>
            <w:tcBorders>
              <w:top w:val="single" w:color="auto" w:sz="4" w:space="0"/>
              <w:left w:val="single" w:color="auto" w:sz="4" w:space="0"/>
              <w:bottom w:val="single" w:color="auto" w:sz="4" w:space="0"/>
              <w:right w:val="single" w:color="auto" w:sz="4" w:space="0"/>
            </w:tcBorders>
            <w:vAlign w:val="center"/>
          </w:tcPr>
          <w:p w14:paraId="41301175">
            <w:pPr>
              <w:ind w:right="120"/>
              <w:contextualSpacing/>
              <w:jc w:val="center"/>
            </w:pPr>
            <w:r>
              <w:rPr>
                <w:rFonts w:eastAsia="Arial Unicode MS"/>
                <w:color w:val="000000"/>
                <w:lang w:bidi="ru-RU"/>
              </w:rPr>
              <w:t>постоянно</w:t>
            </w:r>
          </w:p>
        </w:tc>
        <w:tc>
          <w:tcPr>
            <w:tcW w:w="3119" w:type="dxa"/>
            <w:tcBorders>
              <w:top w:val="single" w:color="auto" w:sz="4" w:space="0"/>
              <w:left w:val="single" w:color="auto" w:sz="4" w:space="0"/>
              <w:bottom w:val="single" w:color="auto" w:sz="4" w:space="0"/>
              <w:right w:val="single" w:color="auto" w:sz="4" w:space="0"/>
            </w:tcBorders>
            <w:vAlign w:val="center"/>
          </w:tcPr>
          <w:p w14:paraId="6C1A8B98">
            <w:pPr>
              <w:ind w:right="120"/>
              <w:contextualSpacing/>
              <w:jc w:val="center"/>
            </w:pPr>
            <w:r>
              <w:t>Инициаторы закупок, специалисты, ответственные за осуществление закупок заказчика (уполномоченного учреждения)</w:t>
            </w:r>
          </w:p>
        </w:tc>
        <w:tc>
          <w:tcPr>
            <w:tcW w:w="2552" w:type="dxa"/>
            <w:tcBorders>
              <w:top w:val="single" w:color="auto" w:sz="4" w:space="0"/>
              <w:left w:val="single" w:color="auto" w:sz="4" w:space="0"/>
              <w:bottom w:val="single" w:color="auto" w:sz="4" w:space="0"/>
              <w:right w:val="single" w:color="auto" w:sz="4" w:space="0"/>
            </w:tcBorders>
            <w:vAlign w:val="center"/>
          </w:tcPr>
          <w:p w14:paraId="516A3B1B">
            <w:pPr>
              <w:ind w:right="120"/>
              <w:contextualSpacing/>
              <w:jc w:val="center"/>
            </w:pPr>
            <w:r>
              <w:t xml:space="preserve">минимизация коррупционных проявлений при осуществлении закупки, </w:t>
            </w:r>
          </w:p>
          <w:p w14:paraId="736A626E">
            <w:pPr>
              <w:ind w:right="120"/>
              <w:contextualSpacing/>
              <w:jc w:val="center"/>
            </w:pPr>
            <w:r>
              <w:t>публикация в ЕИС достоверной информации о закупке, осуществлении обоснованных закупок, исключение установления необоснованных преимуществ, исключение переговоров с участниками закупок</w:t>
            </w:r>
          </w:p>
        </w:tc>
      </w:tr>
      <w:tr w14:paraId="1D088B0E">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vAlign w:val="center"/>
          </w:tcPr>
          <w:p w14:paraId="1D45AD3E">
            <w:pPr>
              <w:spacing w:before="120" w:after="120"/>
              <w:ind w:right="119"/>
              <w:jc w:val="center"/>
            </w:pPr>
            <w:r>
              <w:t>7</w:t>
            </w:r>
          </w:p>
        </w:tc>
        <w:tc>
          <w:tcPr>
            <w:tcW w:w="3691" w:type="dxa"/>
            <w:tcBorders>
              <w:top w:val="single" w:color="auto" w:sz="4" w:space="0"/>
              <w:left w:val="single" w:color="auto" w:sz="4" w:space="0"/>
              <w:bottom w:val="single" w:color="auto" w:sz="4" w:space="0"/>
              <w:right w:val="single" w:color="auto" w:sz="4" w:space="0"/>
            </w:tcBorders>
            <w:vAlign w:val="center"/>
          </w:tcPr>
          <w:p w14:paraId="1513F7E5">
            <w:pPr>
              <w:autoSpaceDE w:val="0"/>
              <w:autoSpaceDN w:val="0"/>
              <w:adjustRightInd w:val="0"/>
              <w:jc w:val="center"/>
            </w:pPr>
            <w:r>
              <w:t>проведение проверок должностными лицами, ответственными за профилактику коррупционных и иных правонарушений, соблюдения должностными лицами заказчика требований о предотвращении или урегулировании конфликта интересов</w:t>
            </w:r>
          </w:p>
        </w:tc>
        <w:tc>
          <w:tcPr>
            <w:tcW w:w="3260" w:type="dxa"/>
            <w:tcBorders>
              <w:top w:val="single" w:color="auto" w:sz="4" w:space="0"/>
              <w:left w:val="single" w:color="auto" w:sz="4" w:space="0"/>
              <w:bottom w:val="single" w:color="auto" w:sz="4" w:space="0"/>
              <w:right w:val="single" w:color="auto" w:sz="4" w:space="0"/>
            </w:tcBorders>
            <w:vAlign w:val="center"/>
          </w:tcPr>
          <w:p w14:paraId="3A19D3E6">
            <w:pPr>
              <w:ind w:right="120"/>
              <w:contextualSpacing/>
              <w:jc w:val="center"/>
            </w:pPr>
            <w:r>
              <w:t>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что может привести к созданию для участника закупки необоснованных преимуществ и повлечь привлечение конкретного поставщика (подрядчика, исполнителя), аффилированного с заказчиком или выплачивающим ему незаконное вознаграждение</w:t>
            </w:r>
          </w:p>
        </w:tc>
        <w:tc>
          <w:tcPr>
            <w:tcW w:w="1984" w:type="dxa"/>
            <w:tcBorders>
              <w:top w:val="single" w:color="auto" w:sz="4" w:space="0"/>
              <w:left w:val="single" w:color="auto" w:sz="4" w:space="0"/>
              <w:bottom w:val="single" w:color="auto" w:sz="4" w:space="0"/>
              <w:right w:val="single" w:color="auto" w:sz="4" w:space="0"/>
            </w:tcBorders>
            <w:vAlign w:val="center"/>
          </w:tcPr>
          <w:p w14:paraId="0BE2F1E1">
            <w:pPr>
              <w:ind w:right="120"/>
              <w:contextualSpacing/>
              <w:jc w:val="center"/>
            </w:pPr>
            <w:r>
              <w:rPr>
                <w:rFonts w:eastAsia="Arial Unicode MS"/>
                <w:color w:val="000000"/>
                <w:lang w:bidi="ru-RU"/>
              </w:rPr>
              <w:t>постоянно</w:t>
            </w:r>
          </w:p>
        </w:tc>
        <w:tc>
          <w:tcPr>
            <w:tcW w:w="3119" w:type="dxa"/>
            <w:tcBorders>
              <w:top w:val="single" w:color="auto" w:sz="4" w:space="0"/>
              <w:left w:val="single" w:color="auto" w:sz="4" w:space="0"/>
              <w:bottom w:val="single" w:color="auto" w:sz="4" w:space="0"/>
              <w:right w:val="single" w:color="auto" w:sz="4" w:space="0"/>
            </w:tcBorders>
            <w:vAlign w:val="center"/>
          </w:tcPr>
          <w:p w14:paraId="1C65F79E">
            <w:pPr>
              <w:ind w:right="120"/>
              <w:contextualSpacing/>
              <w:jc w:val="center"/>
            </w:pPr>
            <w:r>
              <w:t>должностные лица, ответственные за профилактику коррупционных и иных правонарушений</w:t>
            </w:r>
          </w:p>
        </w:tc>
        <w:tc>
          <w:tcPr>
            <w:tcW w:w="2552" w:type="dxa"/>
            <w:tcBorders>
              <w:top w:val="single" w:color="auto" w:sz="4" w:space="0"/>
              <w:left w:val="single" w:color="auto" w:sz="4" w:space="0"/>
              <w:bottom w:val="single" w:color="auto" w:sz="4" w:space="0"/>
              <w:right w:val="single" w:color="auto" w:sz="4" w:space="0"/>
            </w:tcBorders>
            <w:vAlign w:val="center"/>
          </w:tcPr>
          <w:p w14:paraId="0ED928B1">
            <w:pPr>
              <w:ind w:right="120"/>
              <w:contextualSpacing/>
              <w:jc w:val="center"/>
            </w:pPr>
            <w:r>
              <w:t xml:space="preserve">минимизация коррупционных проявлений при осуществлении закупки, </w:t>
            </w:r>
          </w:p>
          <w:p w14:paraId="3BFABBEF">
            <w:pPr>
              <w:ind w:right="120"/>
              <w:contextualSpacing/>
              <w:jc w:val="center"/>
            </w:pPr>
            <w:r>
              <w:t>публикация в ЕИС достоверной информации о закупке, осуществлении обоснованных закупок, исключение установления необоснованных преимуществ, исключение переговоров с участниками закупок</w:t>
            </w:r>
          </w:p>
        </w:tc>
      </w:tr>
      <w:tr w14:paraId="55AD8549">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vAlign w:val="center"/>
          </w:tcPr>
          <w:p w14:paraId="6BCB59A5">
            <w:pPr>
              <w:spacing w:before="120" w:after="120"/>
              <w:ind w:right="119"/>
              <w:jc w:val="center"/>
            </w:pPr>
            <w:r>
              <w:t>8</w:t>
            </w:r>
          </w:p>
        </w:tc>
        <w:tc>
          <w:tcPr>
            <w:tcW w:w="3691" w:type="dxa"/>
            <w:tcBorders>
              <w:top w:val="single" w:color="auto" w:sz="4" w:space="0"/>
              <w:left w:val="single" w:color="auto" w:sz="4" w:space="0"/>
              <w:bottom w:val="single" w:color="auto" w:sz="4" w:space="0"/>
              <w:right w:val="single" w:color="auto" w:sz="4" w:space="0"/>
            </w:tcBorders>
            <w:vAlign w:val="center"/>
          </w:tcPr>
          <w:p w14:paraId="733B0CAB">
            <w:pPr>
              <w:autoSpaceDE w:val="0"/>
              <w:autoSpaceDN w:val="0"/>
              <w:adjustRightInd w:val="0"/>
              <w:jc w:val="center"/>
            </w:pPr>
            <w:r>
              <w:t>недопустимость освобождения от ответственности поставщика (подрядчика, исполнителя) за неисполнение или ненадлежащее исполнение им обязательств, предусмотренных контрактом</w:t>
            </w:r>
          </w:p>
        </w:tc>
        <w:tc>
          <w:tcPr>
            <w:tcW w:w="3260" w:type="dxa"/>
            <w:tcBorders>
              <w:top w:val="single" w:color="auto" w:sz="4" w:space="0"/>
              <w:left w:val="single" w:color="auto" w:sz="4" w:space="0"/>
              <w:bottom w:val="single" w:color="auto" w:sz="4" w:space="0"/>
              <w:right w:val="single" w:color="auto" w:sz="4" w:space="0"/>
            </w:tcBorders>
            <w:vAlign w:val="center"/>
          </w:tcPr>
          <w:p w14:paraId="3B61F488">
            <w:pPr>
              <w:ind w:right="120"/>
              <w:contextualSpacing/>
              <w:jc w:val="center"/>
            </w:pPr>
            <w:r>
              <w:t>осуществление контроля сроков и иных аспектов исполнения обязательств (в том числе гарантийного обязательства), предусмотренных условиями контракта</w:t>
            </w:r>
          </w:p>
        </w:tc>
        <w:tc>
          <w:tcPr>
            <w:tcW w:w="1984" w:type="dxa"/>
            <w:tcBorders>
              <w:top w:val="single" w:color="auto" w:sz="4" w:space="0"/>
              <w:left w:val="single" w:color="auto" w:sz="4" w:space="0"/>
              <w:bottom w:val="single" w:color="auto" w:sz="4" w:space="0"/>
              <w:right w:val="single" w:color="auto" w:sz="4" w:space="0"/>
            </w:tcBorders>
            <w:vAlign w:val="center"/>
          </w:tcPr>
          <w:p w14:paraId="37EEDB5A">
            <w:pPr>
              <w:ind w:right="120"/>
              <w:contextualSpacing/>
              <w:jc w:val="center"/>
            </w:pPr>
            <w:r>
              <w:t>постоянно</w:t>
            </w:r>
          </w:p>
        </w:tc>
        <w:tc>
          <w:tcPr>
            <w:tcW w:w="3119" w:type="dxa"/>
            <w:tcBorders>
              <w:top w:val="single" w:color="auto" w:sz="4" w:space="0"/>
              <w:left w:val="single" w:color="auto" w:sz="4" w:space="0"/>
              <w:bottom w:val="single" w:color="auto" w:sz="4" w:space="0"/>
              <w:right w:val="single" w:color="auto" w:sz="4" w:space="0"/>
            </w:tcBorders>
            <w:vAlign w:val="center"/>
          </w:tcPr>
          <w:p w14:paraId="6161CC48">
            <w:pPr>
              <w:ind w:right="120"/>
              <w:contextualSpacing/>
              <w:jc w:val="center"/>
              <w:rPr>
                <w:sz w:val="28"/>
                <w:szCs w:val="28"/>
              </w:rPr>
            </w:pPr>
            <w:r>
              <w:t>специалисты, ответственные за приемку выполненных работ, оказанных услуг и поставленных товаров</w:t>
            </w:r>
          </w:p>
        </w:tc>
        <w:tc>
          <w:tcPr>
            <w:tcW w:w="2552" w:type="dxa"/>
            <w:tcBorders>
              <w:top w:val="single" w:color="auto" w:sz="4" w:space="0"/>
              <w:left w:val="single" w:color="auto" w:sz="4" w:space="0"/>
              <w:bottom w:val="single" w:color="auto" w:sz="4" w:space="0"/>
              <w:right w:val="single" w:color="auto" w:sz="4" w:space="0"/>
            </w:tcBorders>
            <w:vAlign w:val="center"/>
          </w:tcPr>
          <w:p w14:paraId="7FE6D605">
            <w:pPr>
              <w:ind w:right="120"/>
              <w:contextualSpacing/>
              <w:jc w:val="center"/>
              <w:rPr>
                <w:sz w:val="28"/>
                <w:szCs w:val="28"/>
              </w:rPr>
            </w:pPr>
            <w:r>
              <w:t>минимизация коррупционных проявлений при осуществлении закупки</w:t>
            </w:r>
          </w:p>
        </w:tc>
      </w:tr>
      <w:tr w14:paraId="38C14319">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vAlign w:val="center"/>
          </w:tcPr>
          <w:p w14:paraId="7CDF2AF1">
            <w:pPr>
              <w:spacing w:before="120" w:after="120"/>
              <w:ind w:right="119"/>
              <w:jc w:val="center"/>
            </w:pPr>
            <w:r>
              <w:t>9</w:t>
            </w:r>
          </w:p>
        </w:tc>
        <w:tc>
          <w:tcPr>
            <w:tcW w:w="3691" w:type="dxa"/>
            <w:tcBorders>
              <w:top w:val="single" w:color="auto" w:sz="4" w:space="0"/>
              <w:left w:val="single" w:color="auto" w:sz="4" w:space="0"/>
              <w:bottom w:val="single" w:color="auto" w:sz="4" w:space="0"/>
              <w:right w:val="single" w:color="auto" w:sz="4" w:space="0"/>
            </w:tcBorders>
            <w:vAlign w:val="center"/>
          </w:tcPr>
          <w:p w14:paraId="187F4F32">
            <w:pPr>
              <w:autoSpaceDE w:val="0"/>
              <w:autoSpaceDN w:val="0"/>
              <w:adjustRightInd w:val="0"/>
              <w:jc w:val="center"/>
            </w:pPr>
            <w:r>
              <w:t>организация внутреннего контроля  по оценке исполнения контрактов</w:t>
            </w:r>
          </w:p>
        </w:tc>
        <w:tc>
          <w:tcPr>
            <w:tcW w:w="3260" w:type="dxa"/>
            <w:tcBorders>
              <w:top w:val="single" w:color="auto" w:sz="4" w:space="0"/>
              <w:left w:val="single" w:color="auto" w:sz="4" w:space="0"/>
              <w:bottom w:val="single" w:color="auto" w:sz="4" w:space="0"/>
              <w:right w:val="single" w:color="auto" w:sz="4" w:space="0"/>
            </w:tcBorders>
            <w:vAlign w:val="center"/>
          </w:tcPr>
          <w:p w14:paraId="670DFD84">
            <w:pPr>
              <w:ind w:right="120"/>
              <w:contextualSpacing/>
              <w:jc w:val="center"/>
            </w:pPr>
            <w:r>
              <w:t>приемка по контрактам</w:t>
            </w:r>
          </w:p>
        </w:tc>
        <w:tc>
          <w:tcPr>
            <w:tcW w:w="1984" w:type="dxa"/>
            <w:tcBorders>
              <w:top w:val="single" w:color="auto" w:sz="4" w:space="0"/>
              <w:left w:val="single" w:color="auto" w:sz="4" w:space="0"/>
              <w:bottom w:val="single" w:color="auto" w:sz="4" w:space="0"/>
              <w:right w:val="single" w:color="auto" w:sz="4" w:space="0"/>
            </w:tcBorders>
            <w:vAlign w:val="center"/>
          </w:tcPr>
          <w:p w14:paraId="1EC38E51">
            <w:pPr>
              <w:ind w:right="120"/>
              <w:contextualSpacing/>
              <w:jc w:val="center"/>
              <w:rPr>
                <w:rFonts w:eastAsia="Arial Unicode MS"/>
                <w:color w:val="000000"/>
                <w:lang w:bidi="ru-RU"/>
              </w:rPr>
            </w:pPr>
            <w:r>
              <w:rPr>
                <w:rFonts w:eastAsia="Arial Unicode MS"/>
                <w:color w:val="000000"/>
                <w:lang w:bidi="ru-RU"/>
              </w:rPr>
              <w:t>1 раз в год</w:t>
            </w:r>
          </w:p>
        </w:tc>
        <w:tc>
          <w:tcPr>
            <w:tcW w:w="3119" w:type="dxa"/>
            <w:tcBorders>
              <w:top w:val="single" w:color="auto" w:sz="4" w:space="0"/>
              <w:left w:val="single" w:color="auto" w:sz="4" w:space="0"/>
              <w:bottom w:val="single" w:color="auto" w:sz="4" w:space="0"/>
              <w:right w:val="single" w:color="auto" w:sz="4" w:space="0"/>
            </w:tcBorders>
            <w:vAlign w:val="center"/>
          </w:tcPr>
          <w:p w14:paraId="4F377957">
            <w:pPr>
              <w:ind w:right="120"/>
              <w:contextualSpacing/>
              <w:jc w:val="center"/>
              <w:rPr>
                <w:sz w:val="28"/>
                <w:szCs w:val="28"/>
              </w:rPr>
            </w:pPr>
            <w:r>
              <w:t xml:space="preserve">специалисты, ответственные за приемку выполненных работ, оказанных услуг и поставленных товаров </w:t>
            </w:r>
          </w:p>
        </w:tc>
        <w:tc>
          <w:tcPr>
            <w:tcW w:w="2552" w:type="dxa"/>
            <w:tcBorders>
              <w:top w:val="single" w:color="auto" w:sz="4" w:space="0"/>
              <w:left w:val="single" w:color="auto" w:sz="4" w:space="0"/>
              <w:bottom w:val="single" w:color="auto" w:sz="4" w:space="0"/>
              <w:right w:val="single" w:color="auto" w:sz="4" w:space="0"/>
            </w:tcBorders>
            <w:vAlign w:val="center"/>
          </w:tcPr>
          <w:p w14:paraId="1E36D620">
            <w:pPr>
              <w:ind w:right="120"/>
              <w:contextualSpacing/>
              <w:jc w:val="center"/>
              <w:rPr>
                <w:sz w:val="28"/>
                <w:szCs w:val="28"/>
              </w:rPr>
            </w:pPr>
            <w:r>
              <w:t>минимизация коррупционных проявлений при осуществлении закупки</w:t>
            </w:r>
          </w:p>
        </w:tc>
      </w:tr>
      <w:tr w14:paraId="4BD7E7AC">
        <w:tblPrEx>
          <w:tblCellMar>
            <w:top w:w="102" w:type="dxa"/>
            <w:left w:w="62" w:type="dxa"/>
            <w:bottom w:w="102" w:type="dxa"/>
            <w:right w:w="62" w:type="dxa"/>
          </w:tblCellMar>
        </w:tblPrEx>
        <w:tc>
          <w:tcPr>
            <w:tcW w:w="624" w:type="dxa"/>
            <w:tcBorders>
              <w:top w:val="single" w:color="auto" w:sz="4" w:space="0"/>
              <w:left w:val="single" w:color="auto" w:sz="4" w:space="0"/>
              <w:bottom w:val="single" w:color="auto" w:sz="4" w:space="0"/>
              <w:right w:val="single" w:color="auto" w:sz="4" w:space="0"/>
            </w:tcBorders>
            <w:vAlign w:val="center"/>
          </w:tcPr>
          <w:p w14:paraId="6937D5C5">
            <w:pPr>
              <w:spacing w:before="120" w:after="120"/>
              <w:ind w:right="119"/>
              <w:jc w:val="center"/>
            </w:pPr>
            <w:r>
              <w:t>10</w:t>
            </w:r>
          </w:p>
        </w:tc>
        <w:tc>
          <w:tcPr>
            <w:tcW w:w="3691" w:type="dxa"/>
            <w:tcBorders>
              <w:top w:val="single" w:color="auto" w:sz="4" w:space="0"/>
              <w:left w:val="single" w:color="auto" w:sz="4" w:space="0"/>
              <w:bottom w:val="single" w:color="auto" w:sz="4" w:space="0"/>
              <w:right w:val="single" w:color="auto" w:sz="4" w:space="0"/>
            </w:tcBorders>
          </w:tcPr>
          <w:p w14:paraId="1E10CF8B">
            <w:pPr>
              <w:pStyle w:val="12"/>
              <w:ind w:left="129" w:right="114" w:hanging="3"/>
              <w:jc w:val="center"/>
              <w:rPr>
                <w:sz w:val="24"/>
              </w:rPr>
            </w:pPr>
            <w:r>
              <w:rPr>
                <w:sz w:val="24"/>
              </w:rPr>
              <w:t>Регулярное повышение квалификации муниципальных служащих, в</w:t>
            </w:r>
            <w:r>
              <w:rPr>
                <w:spacing w:val="-9"/>
                <w:sz w:val="24"/>
              </w:rPr>
              <w:t xml:space="preserve"> </w:t>
            </w:r>
            <w:r>
              <w:rPr>
                <w:sz w:val="24"/>
              </w:rPr>
              <w:t>должностные обязанности которых входит организация</w:t>
            </w:r>
            <w:r>
              <w:rPr>
                <w:spacing w:val="-5"/>
                <w:sz w:val="24"/>
              </w:rPr>
              <w:t xml:space="preserve"> </w:t>
            </w:r>
            <w:r>
              <w:rPr>
                <w:sz w:val="24"/>
              </w:rPr>
              <w:t>и</w:t>
            </w:r>
          </w:p>
          <w:p w14:paraId="05F6CD55">
            <w:pPr>
              <w:pStyle w:val="12"/>
              <w:spacing w:line="270" w:lineRule="atLeast"/>
              <w:ind w:left="252" w:right="244"/>
              <w:jc w:val="center"/>
              <w:rPr>
                <w:sz w:val="24"/>
              </w:rPr>
            </w:pPr>
            <w:r>
              <w:rPr>
                <w:sz w:val="24"/>
              </w:rPr>
              <w:t>осуществление</w:t>
            </w:r>
            <w:r>
              <w:rPr>
                <w:spacing w:val="-11"/>
                <w:sz w:val="24"/>
              </w:rPr>
              <w:t xml:space="preserve"> </w:t>
            </w:r>
            <w:r>
              <w:rPr>
                <w:sz w:val="24"/>
              </w:rPr>
              <w:t>закупок товаров, работ и</w:t>
            </w:r>
            <w:r>
              <w:rPr>
                <w:spacing w:val="-6"/>
                <w:sz w:val="24"/>
              </w:rPr>
              <w:t xml:space="preserve"> </w:t>
            </w:r>
            <w:r>
              <w:rPr>
                <w:sz w:val="24"/>
              </w:rPr>
              <w:t>услуг</w:t>
            </w:r>
          </w:p>
        </w:tc>
        <w:tc>
          <w:tcPr>
            <w:tcW w:w="3260" w:type="dxa"/>
            <w:tcBorders>
              <w:top w:val="single" w:color="auto" w:sz="4" w:space="0"/>
              <w:left w:val="single" w:color="auto" w:sz="4" w:space="0"/>
              <w:bottom w:val="single" w:color="auto" w:sz="4" w:space="0"/>
              <w:right w:val="single" w:color="auto" w:sz="4" w:space="0"/>
            </w:tcBorders>
          </w:tcPr>
          <w:p w14:paraId="682FF471">
            <w:pPr>
              <w:pStyle w:val="12"/>
              <w:rPr>
                <w:b/>
                <w:sz w:val="26"/>
              </w:rPr>
            </w:pPr>
          </w:p>
          <w:p w14:paraId="12C18698">
            <w:pPr>
              <w:pStyle w:val="12"/>
              <w:spacing w:before="4"/>
              <w:rPr>
                <w:b/>
                <w:sz w:val="33"/>
              </w:rPr>
            </w:pPr>
          </w:p>
          <w:p w14:paraId="25552C25">
            <w:pPr>
              <w:pStyle w:val="12"/>
              <w:ind w:left="189" w:right="296" w:hanging="6"/>
              <w:jc w:val="center"/>
              <w:rPr>
                <w:sz w:val="24"/>
              </w:rPr>
            </w:pPr>
            <w:r>
              <w:rPr>
                <w:sz w:val="24"/>
              </w:rPr>
              <w:t xml:space="preserve">Организация и осуществление закупок  товаров, работ и услуг </w:t>
            </w:r>
          </w:p>
        </w:tc>
        <w:tc>
          <w:tcPr>
            <w:tcW w:w="1984" w:type="dxa"/>
            <w:tcBorders>
              <w:top w:val="single" w:color="auto" w:sz="4" w:space="0"/>
              <w:left w:val="single" w:color="auto" w:sz="4" w:space="0"/>
              <w:bottom w:val="single" w:color="auto" w:sz="4" w:space="0"/>
              <w:right w:val="single" w:color="auto" w:sz="4" w:space="0"/>
            </w:tcBorders>
          </w:tcPr>
          <w:p w14:paraId="4F8B4063">
            <w:pPr>
              <w:pStyle w:val="12"/>
              <w:rPr>
                <w:b/>
                <w:sz w:val="26"/>
              </w:rPr>
            </w:pPr>
          </w:p>
          <w:p w14:paraId="2C31F19B">
            <w:pPr>
              <w:pStyle w:val="12"/>
              <w:rPr>
                <w:b/>
                <w:sz w:val="26"/>
              </w:rPr>
            </w:pPr>
          </w:p>
          <w:p w14:paraId="130E8068">
            <w:pPr>
              <w:pStyle w:val="12"/>
              <w:rPr>
                <w:b/>
                <w:sz w:val="26"/>
              </w:rPr>
            </w:pPr>
          </w:p>
          <w:p w14:paraId="2E60D8FE">
            <w:pPr>
              <w:pStyle w:val="12"/>
              <w:spacing w:before="199"/>
              <w:ind w:left="402" w:right="503"/>
              <w:jc w:val="center"/>
              <w:rPr>
                <w:sz w:val="24"/>
              </w:rPr>
            </w:pPr>
            <w:r>
              <w:rPr>
                <w:sz w:val="24"/>
              </w:rPr>
              <w:t>1 раз в три года</w:t>
            </w:r>
          </w:p>
        </w:tc>
        <w:tc>
          <w:tcPr>
            <w:tcW w:w="3119" w:type="dxa"/>
            <w:tcBorders>
              <w:top w:val="single" w:color="auto" w:sz="4" w:space="0"/>
              <w:left w:val="single" w:color="auto" w:sz="4" w:space="0"/>
              <w:bottom w:val="single" w:color="auto" w:sz="4" w:space="0"/>
              <w:right w:val="single" w:color="auto" w:sz="4" w:space="0"/>
            </w:tcBorders>
          </w:tcPr>
          <w:p w14:paraId="54715F7D">
            <w:pPr>
              <w:pStyle w:val="12"/>
              <w:spacing w:before="3"/>
              <w:rPr>
                <w:b/>
                <w:sz w:val="23"/>
              </w:rPr>
            </w:pPr>
          </w:p>
          <w:p w14:paraId="1C6928BC">
            <w:pPr>
              <w:pStyle w:val="12"/>
              <w:ind w:left="123" w:right="223" w:hanging="4"/>
              <w:jc w:val="center"/>
              <w:rPr>
                <w:sz w:val="24"/>
              </w:rPr>
            </w:pPr>
            <w:r>
              <w:rPr>
                <w:sz w:val="24"/>
              </w:rPr>
              <w:t>Инициаторы закупок, специалисты, ответственные за осуществление</w:t>
            </w:r>
            <w:r>
              <w:rPr>
                <w:spacing w:val="-9"/>
                <w:sz w:val="24"/>
              </w:rPr>
              <w:t xml:space="preserve"> </w:t>
            </w:r>
            <w:r>
              <w:rPr>
                <w:sz w:val="24"/>
              </w:rPr>
              <w:t>закупок, члены комиссий по осуществлению закупок</w:t>
            </w:r>
          </w:p>
        </w:tc>
        <w:tc>
          <w:tcPr>
            <w:tcW w:w="2552" w:type="dxa"/>
            <w:tcBorders>
              <w:top w:val="single" w:color="auto" w:sz="4" w:space="0"/>
              <w:left w:val="single" w:color="auto" w:sz="4" w:space="0"/>
              <w:bottom w:val="single" w:color="auto" w:sz="4" w:space="0"/>
              <w:right w:val="single" w:color="auto" w:sz="4" w:space="0"/>
            </w:tcBorders>
          </w:tcPr>
          <w:p w14:paraId="094C8479">
            <w:pPr>
              <w:pStyle w:val="12"/>
              <w:rPr>
                <w:b/>
                <w:sz w:val="26"/>
              </w:rPr>
            </w:pPr>
          </w:p>
          <w:p w14:paraId="5782D712">
            <w:pPr>
              <w:pStyle w:val="12"/>
              <w:rPr>
                <w:b/>
                <w:sz w:val="26"/>
              </w:rPr>
            </w:pPr>
          </w:p>
          <w:p w14:paraId="5181A175">
            <w:pPr>
              <w:pStyle w:val="12"/>
              <w:rPr>
                <w:b/>
                <w:sz w:val="26"/>
              </w:rPr>
            </w:pPr>
          </w:p>
          <w:p w14:paraId="751BF020">
            <w:pPr>
              <w:pStyle w:val="12"/>
              <w:spacing w:before="199"/>
              <w:ind w:left="143"/>
              <w:rPr>
                <w:sz w:val="24"/>
              </w:rPr>
            </w:pPr>
            <w:r>
              <w:rPr>
                <w:sz w:val="24"/>
              </w:rPr>
              <w:t>Минимизация коррупции</w:t>
            </w:r>
            <w:bookmarkStart w:id="5" w:name="_GoBack"/>
            <w:bookmarkEnd w:id="5"/>
          </w:p>
        </w:tc>
      </w:tr>
    </w:tbl>
    <w:p w14:paraId="34DF88A1">
      <w:pPr>
        <w:rPr>
          <w:sz w:val="28"/>
          <w:szCs w:val="28"/>
        </w:rPr>
      </w:pPr>
    </w:p>
    <w:sectPr>
      <w:pgSz w:w="16840" w:h="11907" w:orient="landscape"/>
      <w:pgMar w:top="737" w:right="1134" w:bottom="1134" w:left="851"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4915F8"/>
    <w:multiLevelType w:val="multilevel"/>
    <w:tmpl w:val="7A4915F8"/>
    <w:lvl w:ilvl="0" w:tentative="0">
      <w:start w:val="1"/>
      <w:numFmt w:val="decimal"/>
      <w:lvlText w:val="%1."/>
      <w:lvlJc w:val="left"/>
      <w:pPr>
        <w:ind w:left="1241" w:hanging="390"/>
      </w:pPr>
      <w:rPr>
        <w:rFonts w:hint="default"/>
      </w:rPr>
    </w:lvl>
    <w:lvl w:ilvl="1" w:tentative="0">
      <w:start w:val="1"/>
      <w:numFmt w:val="decimal"/>
      <w:isLgl/>
      <w:lvlText w:val="%1.%2."/>
      <w:lvlJc w:val="left"/>
      <w:pPr>
        <w:ind w:left="1571" w:hanging="720"/>
      </w:pPr>
      <w:rPr>
        <w:rFonts w:hint="default"/>
      </w:rPr>
    </w:lvl>
    <w:lvl w:ilvl="2" w:tentative="0">
      <w:start w:val="1"/>
      <w:numFmt w:val="decimal"/>
      <w:isLgl/>
      <w:lvlText w:val="%1.%2.%3."/>
      <w:lvlJc w:val="left"/>
      <w:pPr>
        <w:ind w:left="1571" w:hanging="720"/>
      </w:pPr>
      <w:rPr>
        <w:rFonts w:hint="default"/>
      </w:rPr>
    </w:lvl>
    <w:lvl w:ilvl="3" w:tentative="0">
      <w:start w:val="1"/>
      <w:numFmt w:val="decimal"/>
      <w:isLgl/>
      <w:lvlText w:val="%1.%2.%3.%4."/>
      <w:lvlJc w:val="left"/>
      <w:pPr>
        <w:ind w:left="1931" w:hanging="1080"/>
      </w:pPr>
      <w:rPr>
        <w:rFonts w:hint="default"/>
      </w:rPr>
    </w:lvl>
    <w:lvl w:ilvl="4" w:tentative="0">
      <w:start w:val="1"/>
      <w:numFmt w:val="decimal"/>
      <w:isLgl/>
      <w:lvlText w:val="%1.%2.%3.%4.%5."/>
      <w:lvlJc w:val="left"/>
      <w:pPr>
        <w:ind w:left="1931" w:hanging="1080"/>
      </w:pPr>
      <w:rPr>
        <w:rFonts w:hint="default"/>
      </w:rPr>
    </w:lvl>
    <w:lvl w:ilvl="5" w:tentative="0">
      <w:start w:val="1"/>
      <w:numFmt w:val="decimal"/>
      <w:isLgl/>
      <w:lvlText w:val="%1.%2.%3.%4.%5.%6."/>
      <w:lvlJc w:val="left"/>
      <w:pPr>
        <w:ind w:left="2291" w:hanging="1440"/>
      </w:pPr>
      <w:rPr>
        <w:rFonts w:hint="default"/>
      </w:rPr>
    </w:lvl>
    <w:lvl w:ilvl="6" w:tentative="0">
      <w:start w:val="1"/>
      <w:numFmt w:val="decimal"/>
      <w:isLgl/>
      <w:lvlText w:val="%1.%2.%3.%4.%5.%6.%7."/>
      <w:lvlJc w:val="left"/>
      <w:pPr>
        <w:ind w:left="2291" w:hanging="1440"/>
      </w:pPr>
      <w:rPr>
        <w:rFonts w:hint="default"/>
      </w:rPr>
    </w:lvl>
    <w:lvl w:ilvl="7" w:tentative="0">
      <w:start w:val="1"/>
      <w:numFmt w:val="decimal"/>
      <w:isLgl/>
      <w:lvlText w:val="%1.%2.%3.%4.%5.%6.%7.%8."/>
      <w:lvlJc w:val="left"/>
      <w:pPr>
        <w:ind w:left="2651" w:hanging="1800"/>
      </w:pPr>
      <w:rPr>
        <w:rFonts w:hint="default"/>
      </w:rPr>
    </w:lvl>
    <w:lvl w:ilvl="8" w:tentative="0">
      <w:start w:val="1"/>
      <w:numFmt w:val="decimal"/>
      <w:isLgl/>
      <w:lvlText w:val="%1.%2.%3.%4.%5.%6.%7.%8.%9."/>
      <w:lvlJc w:val="left"/>
      <w:pPr>
        <w:ind w:left="3011"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937"/>
    <w:rsid w:val="00006649"/>
    <w:rsid w:val="000111E5"/>
    <w:rsid w:val="00071E41"/>
    <w:rsid w:val="00083905"/>
    <w:rsid w:val="000A4ED5"/>
    <w:rsid w:val="000B0BBF"/>
    <w:rsid w:val="000C4DBC"/>
    <w:rsid w:val="001128F0"/>
    <w:rsid w:val="00117469"/>
    <w:rsid w:val="0012560E"/>
    <w:rsid w:val="00151FEC"/>
    <w:rsid w:val="0016537C"/>
    <w:rsid w:val="0016791B"/>
    <w:rsid w:val="00197E64"/>
    <w:rsid w:val="001B3726"/>
    <w:rsid w:val="001F2987"/>
    <w:rsid w:val="00235AF2"/>
    <w:rsid w:val="0025334E"/>
    <w:rsid w:val="002639C9"/>
    <w:rsid w:val="002669A1"/>
    <w:rsid w:val="002760A3"/>
    <w:rsid w:val="002A3E50"/>
    <w:rsid w:val="002C6934"/>
    <w:rsid w:val="002E1257"/>
    <w:rsid w:val="00301E3F"/>
    <w:rsid w:val="00313A75"/>
    <w:rsid w:val="003730AB"/>
    <w:rsid w:val="003967DF"/>
    <w:rsid w:val="003B6105"/>
    <w:rsid w:val="003E7F60"/>
    <w:rsid w:val="00400427"/>
    <w:rsid w:val="00405C60"/>
    <w:rsid w:val="00410B29"/>
    <w:rsid w:val="0042080B"/>
    <w:rsid w:val="0042345F"/>
    <w:rsid w:val="0044017B"/>
    <w:rsid w:val="004615C3"/>
    <w:rsid w:val="0046340C"/>
    <w:rsid w:val="00484759"/>
    <w:rsid w:val="004939A0"/>
    <w:rsid w:val="004A55AB"/>
    <w:rsid w:val="004B1982"/>
    <w:rsid w:val="004C3AC5"/>
    <w:rsid w:val="004E4BE6"/>
    <w:rsid w:val="005015D6"/>
    <w:rsid w:val="005053AC"/>
    <w:rsid w:val="00513DAA"/>
    <w:rsid w:val="00544E29"/>
    <w:rsid w:val="0055195C"/>
    <w:rsid w:val="0055260B"/>
    <w:rsid w:val="00573B6B"/>
    <w:rsid w:val="00585B0D"/>
    <w:rsid w:val="005B0D0D"/>
    <w:rsid w:val="005D44A0"/>
    <w:rsid w:val="005D7B6F"/>
    <w:rsid w:val="005F35E2"/>
    <w:rsid w:val="005F3E64"/>
    <w:rsid w:val="00613290"/>
    <w:rsid w:val="00625168"/>
    <w:rsid w:val="00664D94"/>
    <w:rsid w:val="00687576"/>
    <w:rsid w:val="006B0937"/>
    <w:rsid w:val="006C1381"/>
    <w:rsid w:val="006D5EB4"/>
    <w:rsid w:val="00717303"/>
    <w:rsid w:val="007313AE"/>
    <w:rsid w:val="00734EAB"/>
    <w:rsid w:val="00754C1F"/>
    <w:rsid w:val="00767F49"/>
    <w:rsid w:val="0078218A"/>
    <w:rsid w:val="00783715"/>
    <w:rsid w:val="007C439C"/>
    <w:rsid w:val="007E778D"/>
    <w:rsid w:val="00815C5A"/>
    <w:rsid w:val="00822807"/>
    <w:rsid w:val="00830C5C"/>
    <w:rsid w:val="00832D81"/>
    <w:rsid w:val="00842E13"/>
    <w:rsid w:val="00844DDE"/>
    <w:rsid w:val="00865E30"/>
    <w:rsid w:val="008B3A08"/>
    <w:rsid w:val="008F0AA0"/>
    <w:rsid w:val="00934534"/>
    <w:rsid w:val="00942F23"/>
    <w:rsid w:val="00955A1C"/>
    <w:rsid w:val="0096032D"/>
    <w:rsid w:val="00982E0C"/>
    <w:rsid w:val="00983ADB"/>
    <w:rsid w:val="009E6FE2"/>
    <w:rsid w:val="00A40945"/>
    <w:rsid w:val="00A41749"/>
    <w:rsid w:val="00A425C5"/>
    <w:rsid w:val="00A62697"/>
    <w:rsid w:val="00A674E1"/>
    <w:rsid w:val="00B17867"/>
    <w:rsid w:val="00B92488"/>
    <w:rsid w:val="00BB22CD"/>
    <w:rsid w:val="00BF00AC"/>
    <w:rsid w:val="00BF2A61"/>
    <w:rsid w:val="00C44D88"/>
    <w:rsid w:val="00C52A41"/>
    <w:rsid w:val="00C53255"/>
    <w:rsid w:val="00C575F5"/>
    <w:rsid w:val="00C663E6"/>
    <w:rsid w:val="00C82C55"/>
    <w:rsid w:val="00CC4BB5"/>
    <w:rsid w:val="00CC4ED5"/>
    <w:rsid w:val="00CF7291"/>
    <w:rsid w:val="00D138F9"/>
    <w:rsid w:val="00D401DF"/>
    <w:rsid w:val="00D449CE"/>
    <w:rsid w:val="00D91F09"/>
    <w:rsid w:val="00DA7721"/>
    <w:rsid w:val="00DD5B4B"/>
    <w:rsid w:val="00DD7E3E"/>
    <w:rsid w:val="00DF4E0B"/>
    <w:rsid w:val="00DF69BA"/>
    <w:rsid w:val="00E05EC4"/>
    <w:rsid w:val="00EC535E"/>
    <w:rsid w:val="00F05C44"/>
    <w:rsid w:val="00F26004"/>
    <w:rsid w:val="00F40A7E"/>
    <w:rsid w:val="00F450EF"/>
    <w:rsid w:val="00F823EF"/>
    <w:rsid w:val="00F91BF0"/>
    <w:rsid w:val="00F96C15"/>
    <w:rsid w:val="00FD5C81"/>
    <w:rsid w:val="00FD756D"/>
    <w:rsid w:val="00FF346C"/>
    <w:rsid w:val="721A702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u-RU" w:eastAsia="ru-RU" w:bidi="ar-SA"/>
    </w:rPr>
  </w:style>
  <w:style w:type="paragraph" w:styleId="2">
    <w:name w:val="heading 1"/>
    <w:basedOn w:val="1"/>
    <w:next w:val="1"/>
    <w:link w:val="8"/>
    <w:qFormat/>
    <w:uiPriority w:val="0"/>
    <w:pPr>
      <w:keepNext/>
      <w:ind w:firstLine="540"/>
      <w:outlineLvl w:val="0"/>
    </w:pPr>
    <w:rPr>
      <w:sz w:val="28"/>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qFormat/>
    <w:uiPriority w:val="0"/>
    <w:rPr>
      <w:color w:val="0000FF"/>
      <w:u w:val="single"/>
    </w:rPr>
  </w:style>
  <w:style w:type="paragraph" w:styleId="6">
    <w:name w:val="Balloon Text"/>
    <w:basedOn w:val="1"/>
    <w:link w:val="10"/>
    <w:semiHidden/>
    <w:unhideWhenUsed/>
    <w:qFormat/>
    <w:uiPriority w:val="99"/>
    <w:rPr>
      <w:rFonts w:ascii="Tahoma" w:hAnsi="Tahoma" w:cs="Tahoma"/>
      <w:sz w:val="16"/>
      <w:szCs w:val="16"/>
    </w:rPr>
  </w:style>
  <w:style w:type="paragraph" w:styleId="7">
    <w:name w:val="Title"/>
    <w:basedOn w:val="1"/>
    <w:link w:val="9"/>
    <w:qFormat/>
    <w:uiPriority w:val="0"/>
    <w:pPr>
      <w:ind w:firstLine="540"/>
      <w:jc w:val="center"/>
    </w:pPr>
    <w:rPr>
      <w:b/>
      <w:bCs/>
      <w:sz w:val="32"/>
    </w:rPr>
  </w:style>
  <w:style w:type="character" w:customStyle="1" w:styleId="8">
    <w:name w:val="Заголовок 1 Знак"/>
    <w:basedOn w:val="3"/>
    <w:link w:val="2"/>
    <w:qFormat/>
    <w:uiPriority w:val="0"/>
    <w:rPr>
      <w:rFonts w:ascii="Times New Roman" w:hAnsi="Times New Roman" w:eastAsia="Times New Roman" w:cs="Times New Roman"/>
      <w:sz w:val="28"/>
      <w:szCs w:val="24"/>
      <w:lang w:eastAsia="ru-RU"/>
    </w:rPr>
  </w:style>
  <w:style w:type="character" w:customStyle="1" w:styleId="9">
    <w:name w:val="Заголовок Знак"/>
    <w:basedOn w:val="3"/>
    <w:link w:val="7"/>
    <w:qFormat/>
    <w:uiPriority w:val="0"/>
    <w:rPr>
      <w:rFonts w:ascii="Times New Roman" w:hAnsi="Times New Roman" w:eastAsia="Times New Roman" w:cs="Times New Roman"/>
      <w:b/>
      <w:bCs/>
      <w:sz w:val="32"/>
      <w:szCs w:val="24"/>
      <w:lang w:eastAsia="ru-RU"/>
    </w:rPr>
  </w:style>
  <w:style w:type="character" w:customStyle="1" w:styleId="10">
    <w:name w:val="Текст выноски Знак"/>
    <w:basedOn w:val="3"/>
    <w:link w:val="6"/>
    <w:semiHidden/>
    <w:qFormat/>
    <w:uiPriority w:val="99"/>
    <w:rPr>
      <w:rFonts w:ascii="Tahoma" w:hAnsi="Tahoma" w:eastAsia="Times New Roman" w:cs="Tahoma"/>
      <w:sz w:val="16"/>
      <w:szCs w:val="16"/>
      <w:lang w:eastAsia="ru-RU"/>
    </w:rPr>
  </w:style>
  <w:style w:type="paragraph" w:styleId="11">
    <w:name w:val="List Paragraph"/>
    <w:basedOn w:val="1"/>
    <w:qFormat/>
    <w:uiPriority w:val="34"/>
    <w:pPr>
      <w:ind w:left="720"/>
      <w:contextualSpacing/>
    </w:pPr>
  </w:style>
  <w:style w:type="paragraph" w:customStyle="1" w:styleId="12">
    <w:name w:val="Table Paragraph"/>
    <w:basedOn w:val="1"/>
    <w:qFormat/>
    <w:uiPriority w:val="1"/>
    <w:pPr>
      <w:widowControl w:val="0"/>
      <w:autoSpaceDE w:val="0"/>
      <w:autoSpaceDN w:val="0"/>
    </w:pPr>
    <w:rPr>
      <w:sz w:val="22"/>
      <w:szCs w:val="22"/>
      <w:lang w:bidi="ru-RU"/>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8EFBE-A3E1-400F-9A9F-FE8F62527093}">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12</Pages>
  <Words>1801</Words>
  <Characters>14845</Characters>
  <Lines>119</Lines>
  <Paragraphs>33</Paragraphs>
  <TotalTime>6</TotalTime>
  <ScaleCrop>false</ScaleCrop>
  <LinksUpToDate>false</LinksUpToDate>
  <CharactersWithSpaces>16673</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2026-05-28T11:43:00Z</dcterms:created>
  <dc:creator>Lena</dc:creator>
  <cp:lastModifiedBy>Управделами</cp:lastModifiedBy>
  <cp:lastPrinted>2026-05-28T11:40:00Z</cp:lastPrinted>
  <dcterms:modified xsi:type="dcterms:W3CDTF">2026-06-02T06:29:01Z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eyJoZGlkIjoiODY1NzE2ZTEwNmNmMzVmZjdhOTFkZjBjMGJjNzNmOTYifQ==</vt:lpwstr>
  </property>
  <property fmtid="{D5CDD505-2E9C-101B-9397-08002B2CF9AE}" pid="3" name="KSOProductBuildVer">
    <vt:lpwstr>1049-12.1.0.26880</vt:lpwstr>
  </property>
  <property fmtid="{D5CDD505-2E9C-101B-9397-08002B2CF9AE}" pid="4" name="ICV">
    <vt:lpwstr>4170556033FD4EACBE3073F18C930F25_12</vt:lpwstr>
  </property>
</Properties>
</file>